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rPr>
          <w:rFonts w:ascii="宋体" w:hAnsi="宋体"/>
          <w:b/>
          <w:color w:val="auto"/>
          <w:sz w:val="30"/>
          <w:szCs w:val="30"/>
          <w:highlight w:val="none"/>
        </w:rPr>
      </w:pPr>
      <w:bookmarkStart w:id="0" w:name="_Hlt101233737"/>
      <w:bookmarkEnd w:id="0"/>
      <w:bookmarkStart w:id="1" w:name="_Hlt101843627"/>
      <w:bookmarkEnd w:id="1"/>
      <w:r>
        <w:rPr>
          <w:rFonts w:hint="eastAsia" w:ascii="宋体" w:hAnsi="宋体"/>
          <w:b/>
          <w:color w:val="auto"/>
          <w:sz w:val="30"/>
          <w:szCs w:val="30"/>
          <w:highlight w:val="none"/>
        </w:rPr>
        <w:t>项目编号：YTTH-2021-FC0260</w:t>
      </w:r>
    </w:p>
    <w:p>
      <w:pPr>
        <w:pStyle w:val="2"/>
        <w:rPr>
          <w:rFonts w:asciiTheme="majorEastAsia" w:hAnsiTheme="majorEastAsia" w:eastAsiaTheme="majorEastAsia" w:cstheme="majorEastAsia"/>
          <w:b/>
          <w:color w:val="auto"/>
          <w:sz w:val="52"/>
          <w:szCs w:val="52"/>
          <w:highlight w:val="none"/>
        </w:rPr>
      </w:pPr>
      <w:bookmarkStart w:id="2" w:name="_Toc18738"/>
      <w:bookmarkStart w:id="3" w:name="_Toc10017"/>
      <w:bookmarkStart w:id="4" w:name="_Toc6636"/>
      <w:bookmarkStart w:id="263" w:name="_GoBack"/>
      <w:bookmarkEnd w:id="263"/>
    </w:p>
    <w:p>
      <w:pPr>
        <w:pStyle w:val="2"/>
        <w:jc w:val="center"/>
        <w:rPr>
          <w:rFonts w:asciiTheme="majorEastAsia" w:hAnsiTheme="majorEastAsia" w:eastAsiaTheme="majorEastAsia" w:cstheme="majorEastAsia"/>
          <w:b/>
          <w:color w:val="auto"/>
          <w:sz w:val="48"/>
          <w:szCs w:val="48"/>
          <w:highlight w:val="none"/>
        </w:rPr>
      </w:pPr>
    </w:p>
    <w:p>
      <w:pPr>
        <w:spacing w:line="360" w:lineRule="auto"/>
        <w:jc w:val="center"/>
        <w:rPr>
          <w:rFonts w:hint="default" w:ascii="宋体" w:hAnsi="宋体" w:eastAsia="宋体"/>
          <w:b/>
          <w:sz w:val="52"/>
          <w:szCs w:val="52"/>
          <w:highlight w:val="none"/>
          <w:lang w:val="en-US" w:eastAsia="zh-CN"/>
        </w:rPr>
      </w:pPr>
      <w:r>
        <w:rPr>
          <w:rFonts w:hint="eastAsia" w:ascii="宋体" w:hAnsi="宋体"/>
          <w:b/>
          <w:sz w:val="52"/>
          <w:szCs w:val="52"/>
          <w:highlight w:val="none"/>
          <w:lang w:eastAsia="zh-CN"/>
        </w:rPr>
        <w:t>成都蒙彼利埃小学2022年视频拍摄制作服务采购项目</w:t>
      </w:r>
    </w:p>
    <w:p>
      <w:pPr>
        <w:spacing w:line="360" w:lineRule="auto"/>
        <w:jc w:val="center"/>
        <w:rPr>
          <w:rFonts w:hint="eastAsia" w:ascii="宋体" w:hAnsi="宋体"/>
          <w:b/>
          <w:sz w:val="52"/>
          <w:szCs w:val="52"/>
          <w:highlight w:val="none"/>
        </w:rPr>
      </w:pPr>
    </w:p>
    <w:p>
      <w:pPr>
        <w:pStyle w:val="12"/>
        <w:rPr>
          <w:color w:val="auto"/>
          <w:highlight w:val="none"/>
        </w:rPr>
      </w:pPr>
    </w:p>
    <w:p>
      <w:pPr>
        <w:spacing w:line="360" w:lineRule="auto"/>
        <w:jc w:val="center"/>
        <w:rPr>
          <w:rFonts w:ascii="宋体" w:hAnsi="宋体"/>
          <w:b/>
          <w:color w:val="auto"/>
          <w:sz w:val="72"/>
          <w:szCs w:val="72"/>
          <w:highlight w:val="none"/>
        </w:rPr>
      </w:pPr>
    </w:p>
    <w:p>
      <w:pPr>
        <w:spacing w:line="480" w:lineRule="auto"/>
        <w:jc w:val="center"/>
        <w:rPr>
          <w:rFonts w:ascii="宋体" w:hAnsi="宋体"/>
          <w:b/>
          <w:color w:val="auto"/>
          <w:sz w:val="72"/>
          <w:szCs w:val="72"/>
          <w:highlight w:val="none"/>
        </w:rPr>
      </w:pPr>
      <w:r>
        <w:rPr>
          <w:rFonts w:hint="eastAsia" w:ascii="宋体" w:hAnsi="宋体"/>
          <w:b/>
          <w:color w:val="auto"/>
          <w:sz w:val="72"/>
          <w:szCs w:val="72"/>
          <w:highlight w:val="none"/>
        </w:rPr>
        <w:t>竞争性磋商</w:t>
      </w:r>
      <w:bookmarkEnd w:id="2"/>
    </w:p>
    <w:p>
      <w:pPr>
        <w:spacing w:line="480" w:lineRule="auto"/>
        <w:jc w:val="center"/>
        <w:rPr>
          <w:rFonts w:ascii="宋体" w:hAnsi="宋体"/>
          <w:b/>
          <w:color w:val="auto"/>
          <w:sz w:val="32"/>
          <w:szCs w:val="40"/>
          <w:highlight w:val="none"/>
        </w:rPr>
      </w:pPr>
      <w:bookmarkStart w:id="5" w:name="_Toc15473"/>
      <w:r>
        <w:rPr>
          <w:rFonts w:hint="eastAsia" w:ascii="宋体" w:hAnsi="宋体"/>
          <w:b/>
          <w:color w:val="auto"/>
          <w:sz w:val="72"/>
          <w:szCs w:val="72"/>
          <w:highlight w:val="none"/>
        </w:rPr>
        <w:t>采购文件</w:t>
      </w:r>
      <w:bookmarkEnd w:id="3"/>
      <w:bookmarkEnd w:id="4"/>
      <w:bookmarkEnd w:id="5"/>
    </w:p>
    <w:p>
      <w:pPr>
        <w:spacing w:line="360" w:lineRule="auto"/>
        <w:rPr>
          <w:rFonts w:ascii="宋体" w:hAnsi="宋体"/>
          <w:b/>
          <w:color w:val="auto"/>
          <w:w w:val="90"/>
          <w:sz w:val="36"/>
          <w:szCs w:val="36"/>
          <w:highlight w:val="none"/>
        </w:rPr>
      </w:pPr>
    </w:p>
    <w:p>
      <w:pPr>
        <w:pStyle w:val="2"/>
        <w:rPr>
          <w:highlight w:val="none"/>
        </w:rPr>
      </w:pPr>
    </w:p>
    <w:p>
      <w:pPr>
        <w:rPr>
          <w:color w:val="auto"/>
          <w:highlight w:val="none"/>
        </w:rPr>
      </w:pPr>
    </w:p>
    <w:p>
      <w:pPr>
        <w:spacing w:line="360" w:lineRule="auto"/>
        <w:jc w:val="center"/>
        <w:rPr>
          <w:rFonts w:ascii="宋体" w:hAnsi="宋体"/>
          <w:b/>
          <w:color w:val="auto"/>
          <w:w w:val="90"/>
          <w:sz w:val="36"/>
          <w:szCs w:val="36"/>
          <w:highlight w:val="none"/>
        </w:rPr>
      </w:pPr>
    </w:p>
    <w:p>
      <w:pPr>
        <w:spacing w:line="360" w:lineRule="auto"/>
        <w:jc w:val="center"/>
        <w:rPr>
          <w:rFonts w:ascii="宋体" w:hAnsi="宋体"/>
          <w:b/>
          <w:color w:val="auto"/>
          <w:w w:val="90"/>
          <w:sz w:val="36"/>
          <w:szCs w:val="36"/>
          <w:highlight w:val="none"/>
        </w:rPr>
      </w:pPr>
      <w:r>
        <w:rPr>
          <w:rFonts w:hint="eastAsia" w:ascii="宋体" w:hAnsi="宋体"/>
          <w:b/>
          <w:color w:val="auto"/>
          <w:w w:val="90"/>
          <w:sz w:val="36"/>
          <w:szCs w:val="36"/>
          <w:highlight w:val="none"/>
        </w:rPr>
        <w:t>中国·四川</w:t>
      </w:r>
    </w:p>
    <w:p>
      <w:pPr>
        <w:spacing w:line="360" w:lineRule="auto"/>
        <w:jc w:val="center"/>
        <w:rPr>
          <w:rFonts w:hint="eastAsia" w:ascii="宋体" w:hAnsi="宋体" w:eastAsia="宋体"/>
          <w:b/>
          <w:color w:val="auto"/>
          <w:w w:val="90"/>
          <w:sz w:val="36"/>
          <w:szCs w:val="36"/>
          <w:highlight w:val="none"/>
          <w:lang w:eastAsia="zh-CN"/>
        </w:rPr>
      </w:pPr>
      <w:r>
        <w:rPr>
          <w:rFonts w:hint="eastAsia" w:ascii="宋体" w:hAnsi="宋体"/>
          <w:b/>
          <w:color w:val="auto"/>
          <w:w w:val="90"/>
          <w:sz w:val="36"/>
          <w:szCs w:val="36"/>
          <w:highlight w:val="none"/>
        </w:rPr>
        <w:t>采购人：</w:t>
      </w:r>
      <w:r>
        <w:rPr>
          <w:rFonts w:hint="eastAsia" w:ascii="宋体" w:hAnsi="宋体"/>
          <w:b/>
          <w:color w:val="auto"/>
          <w:w w:val="90"/>
          <w:sz w:val="36"/>
          <w:szCs w:val="36"/>
          <w:highlight w:val="none"/>
          <w:lang w:eastAsia="zh-CN"/>
        </w:rPr>
        <w:t>成都蒙彼利埃小学</w:t>
      </w:r>
    </w:p>
    <w:p>
      <w:pPr>
        <w:spacing w:line="360" w:lineRule="auto"/>
        <w:jc w:val="center"/>
        <w:rPr>
          <w:rFonts w:ascii="宋体" w:hAnsi="宋体"/>
          <w:b/>
          <w:color w:val="auto"/>
          <w:w w:val="90"/>
          <w:sz w:val="36"/>
          <w:szCs w:val="36"/>
          <w:highlight w:val="none"/>
        </w:rPr>
      </w:pPr>
      <w:r>
        <w:rPr>
          <w:rFonts w:hint="eastAsia" w:ascii="宋体" w:hAnsi="宋体"/>
          <w:b/>
          <w:color w:val="auto"/>
          <w:w w:val="90"/>
          <w:sz w:val="36"/>
          <w:szCs w:val="36"/>
          <w:highlight w:val="none"/>
        </w:rPr>
        <w:t>代理机构：四川易通天和招标代理有限公司</w:t>
      </w:r>
    </w:p>
    <w:p>
      <w:pPr>
        <w:spacing w:line="360" w:lineRule="auto"/>
        <w:jc w:val="center"/>
        <w:rPr>
          <w:rFonts w:ascii="宋体" w:hAnsi="宋体"/>
          <w:b/>
          <w:color w:val="auto"/>
          <w:w w:val="90"/>
          <w:sz w:val="36"/>
          <w:szCs w:val="36"/>
          <w:highlight w:val="none"/>
        </w:rPr>
      </w:pPr>
      <w:r>
        <w:rPr>
          <w:rFonts w:hint="eastAsia" w:ascii="宋体" w:hAnsi="宋体"/>
          <w:b/>
          <w:color w:val="auto"/>
          <w:w w:val="90"/>
          <w:sz w:val="36"/>
          <w:szCs w:val="36"/>
          <w:highlight w:val="none"/>
        </w:rPr>
        <w:t>共同编制</w:t>
      </w:r>
    </w:p>
    <w:p>
      <w:pPr>
        <w:spacing w:line="360" w:lineRule="auto"/>
        <w:rPr>
          <w:rFonts w:ascii="宋体" w:hAnsi="宋体"/>
          <w:b/>
          <w:color w:val="auto"/>
          <w:w w:val="90"/>
          <w:sz w:val="36"/>
          <w:szCs w:val="36"/>
          <w:highlight w:val="none"/>
        </w:rPr>
      </w:pPr>
    </w:p>
    <w:p>
      <w:pPr>
        <w:spacing w:line="400" w:lineRule="exact"/>
        <w:jc w:val="center"/>
        <w:rPr>
          <w:rFonts w:ascii="宋体" w:hAnsi="宋体"/>
          <w:b/>
          <w:color w:val="auto"/>
          <w:w w:val="90"/>
          <w:sz w:val="36"/>
          <w:szCs w:val="36"/>
          <w:highlight w:val="none"/>
        </w:rPr>
      </w:pPr>
      <w:r>
        <w:rPr>
          <w:rFonts w:hint="eastAsia" w:ascii="宋体" w:hAnsi="宋体"/>
          <w:b/>
          <w:color w:val="auto"/>
          <w:w w:val="90"/>
          <w:sz w:val="36"/>
          <w:szCs w:val="36"/>
          <w:highlight w:val="none"/>
        </w:rPr>
        <w:t>二○二</w:t>
      </w:r>
      <w:r>
        <w:rPr>
          <w:rFonts w:hint="eastAsia" w:ascii="宋体" w:hAnsi="宋体"/>
          <w:b/>
          <w:color w:val="auto"/>
          <w:w w:val="90"/>
          <w:sz w:val="36"/>
          <w:szCs w:val="36"/>
          <w:highlight w:val="none"/>
          <w:lang w:val="en-US" w:eastAsia="zh-CN"/>
        </w:rPr>
        <w:t>一</w:t>
      </w:r>
      <w:r>
        <w:rPr>
          <w:rFonts w:hint="eastAsia" w:ascii="宋体" w:hAnsi="宋体"/>
          <w:b/>
          <w:color w:val="auto"/>
          <w:w w:val="90"/>
          <w:sz w:val="36"/>
          <w:szCs w:val="36"/>
          <w:highlight w:val="none"/>
        </w:rPr>
        <w:t>年</w:t>
      </w:r>
      <w:r>
        <w:rPr>
          <w:rFonts w:hint="eastAsia" w:ascii="宋体" w:hAnsi="宋体"/>
          <w:b/>
          <w:color w:val="auto"/>
          <w:w w:val="90"/>
          <w:sz w:val="36"/>
          <w:szCs w:val="36"/>
          <w:highlight w:val="none"/>
          <w:lang w:val="en-US" w:eastAsia="zh-CN"/>
        </w:rPr>
        <w:t>十二</w:t>
      </w:r>
      <w:r>
        <w:rPr>
          <w:rFonts w:hint="eastAsia" w:ascii="宋体" w:hAnsi="宋体"/>
          <w:b/>
          <w:color w:val="auto"/>
          <w:w w:val="90"/>
          <w:sz w:val="36"/>
          <w:szCs w:val="36"/>
          <w:highlight w:val="none"/>
        </w:rPr>
        <w:t>月</w:t>
      </w:r>
      <w:r>
        <w:rPr>
          <w:rFonts w:hint="eastAsia" w:ascii="宋体" w:hAnsi="宋体"/>
          <w:b/>
          <w:color w:val="auto"/>
          <w:w w:val="90"/>
          <w:sz w:val="36"/>
          <w:szCs w:val="36"/>
          <w:highlight w:val="none"/>
        </w:rPr>
        <w:br w:type="page"/>
      </w:r>
    </w:p>
    <w:p>
      <w:pPr>
        <w:pStyle w:val="3"/>
        <w:spacing w:before="0" w:after="0" w:line="360" w:lineRule="auto"/>
        <w:jc w:val="center"/>
        <w:rPr>
          <w:color w:val="auto"/>
          <w:highlight w:val="none"/>
        </w:rPr>
      </w:pPr>
      <w:bookmarkStart w:id="6" w:name="_Toc15686"/>
      <w:r>
        <w:rPr>
          <w:rFonts w:hint="eastAsia"/>
          <w:color w:val="auto"/>
          <w:highlight w:val="none"/>
        </w:rPr>
        <w:t>政府采购廉洁承诺书</w:t>
      </w:r>
      <w:bookmarkEnd w:id="6"/>
    </w:p>
    <w:p>
      <w:pPr>
        <w:spacing w:line="360" w:lineRule="auto"/>
        <w:ind w:firstLine="480" w:firstLineChars="200"/>
        <w:rPr>
          <w:rFonts w:ascii="宋体" w:hAnsi="宋体" w:cs="宋体"/>
          <w:color w:val="auto"/>
          <w:sz w:val="24"/>
          <w:szCs w:val="32"/>
          <w:highlight w:val="none"/>
          <w:lang w:val="zh-CN"/>
        </w:rPr>
      </w:pPr>
      <w:r>
        <w:rPr>
          <w:rFonts w:hint="eastAsia" w:ascii="宋体" w:hAnsi="宋体" w:cs="宋体"/>
          <w:color w:val="auto"/>
          <w:sz w:val="24"/>
          <w:szCs w:val="32"/>
          <w:highlight w:val="none"/>
          <w:lang w:val="zh-CN"/>
        </w:rPr>
        <w:t>为加强招标投标活动中的廉政建设，坚决维护国家利益和社会公共利益，进一步规范招标投标市场，宣扬公平竞争的风气，努力提供优质、细心、专业的服务，为采购人创造价值，防止发生违法违纪行为，落实公开、公平、公正的原则，根据国家有关法律、法规和廉政建设责任制的规定，本招标代理机构作如下承诺：</w:t>
      </w:r>
    </w:p>
    <w:p>
      <w:pPr>
        <w:spacing w:line="360" w:lineRule="auto"/>
        <w:ind w:firstLine="480" w:firstLineChars="200"/>
        <w:rPr>
          <w:rFonts w:ascii="宋体" w:hAnsi="宋体" w:cs="宋体"/>
          <w:color w:val="auto"/>
          <w:sz w:val="24"/>
          <w:szCs w:val="32"/>
          <w:highlight w:val="none"/>
          <w:lang w:val="zh-CN"/>
        </w:rPr>
      </w:pPr>
      <w:r>
        <w:rPr>
          <w:rFonts w:hint="eastAsia" w:ascii="宋体" w:hAnsi="宋体" w:cs="宋体"/>
          <w:color w:val="auto"/>
          <w:sz w:val="24"/>
          <w:szCs w:val="32"/>
          <w:highlight w:val="none"/>
          <w:lang w:val="zh-CN"/>
        </w:rPr>
        <w:t>1、不与他人串通，</w:t>
      </w:r>
      <w:r>
        <w:rPr>
          <w:rFonts w:hint="eastAsia" w:ascii="宋体" w:hAnsi="宋体" w:cs="宋体"/>
          <w:color w:val="auto"/>
          <w:sz w:val="24"/>
          <w:szCs w:val="32"/>
          <w:highlight w:val="none"/>
        </w:rPr>
        <w:t>泄露</w:t>
      </w:r>
      <w:r>
        <w:rPr>
          <w:rFonts w:hint="eastAsia" w:ascii="宋体" w:hAnsi="宋体" w:cs="宋体"/>
          <w:color w:val="auto"/>
          <w:sz w:val="24"/>
          <w:szCs w:val="32"/>
          <w:highlight w:val="none"/>
          <w:lang w:val="zh-CN"/>
        </w:rPr>
        <w:t>招标投标机密。</w:t>
      </w:r>
    </w:p>
    <w:p>
      <w:pPr>
        <w:spacing w:line="360" w:lineRule="auto"/>
        <w:ind w:firstLine="480" w:firstLineChars="200"/>
        <w:rPr>
          <w:rFonts w:ascii="宋体" w:hAnsi="宋体" w:cs="宋体"/>
          <w:color w:val="auto"/>
          <w:sz w:val="24"/>
          <w:szCs w:val="32"/>
          <w:highlight w:val="none"/>
          <w:lang w:val="zh-CN"/>
        </w:rPr>
      </w:pPr>
      <w:r>
        <w:rPr>
          <w:rFonts w:hint="eastAsia" w:ascii="宋体" w:hAnsi="宋体" w:cs="宋体"/>
          <w:color w:val="auto"/>
          <w:sz w:val="24"/>
          <w:szCs w:val="32"/>
          <w:highlight w:val="none"/>
          <w:lang w:val="zh-CN"/>
        </w:rPr>
        <w:t>2、不与采购人、供应商串通投标。</w:t>
      </w:r>
    </w:p>
    <w:p>
      <w:pPr>
        <w:spacing w:line="360" w:lineRule="auto"/>
        <w:ind w:firstLine="480" w:firstLineChars="200"/>
        <w:rPr>
          <w:rFonts w:ascii="宋体" w:hAnsi="宋体" w:cs="宋体"/>
          <w:color w:val="auto"/>
          <w:sz w:val="24"/>
          <w:szCs w:val="32"/>
          <w:highlight w:val="none"/>
          <w:lang w:val="zh-CN"/>
        </w:rPr>
      </w:pPr>
      <w:r>
        <w:rPr>
          <w:rFonts w:hint="eastAsia" w:ascii="宋体" w:hAnsi="宋体" w:cs="宋体"/>
          <w:color w:val="auto"/>
          <w:sz w:val="24"/>
          <w:szCs w:val="32"/>
          <w:highlight w:val="none"/>
          <w:lang w:val="zh-CN"/>
        </w:rPr>
        <w:t>3、不向评标专家支付合理报酬以外的</w:t>
      </w:r>
      <w:r>
        <w:rPr>
          <w:rFonts w:hint="eastAsia" w:ascii="宋体" w:hAnsi="宋体" w:cs="宋体"/>
          <w:color w:val="auto"/>
          <w:sz w:val="24"/>
          <w:szCs w:val="32"/>
          <w:highlight w:val="none"/>
        </w:rPr>
        <w:t>费用，包括并不限于</w:t>
      </w:r>
      <w:r>
        <w:rPr>
          <w:rFonts w:hint="eastAsia" w:ascii="宋体" w:hAnsi="宋体" w:cs="宋体"/>
          <w:color w:val="auto"/>
          <w:sz w:val="24"/>
          <w:szCs w:val="32"/>
          <w:highlight w:val="none"/>
          <w:lang w:val="zh-CN"/>
        </w:rPr>
        <w:t>现金、购物卡、礼品、实物等，</w:t>
      </w:r>
      <w:r>
        <w:rPr>
          <w:rFonts w:hint="eastAsia" w:ascii="宋体" w:hAnsi="宋体" w:cs="宋体"/>
          <w:color w:val="auto"/>
          <w:sz w:val="24"/>
          <w:szCs w:val="32"/>
          <w:highlight w:val="none"/>
        </w:rPr>
        <w:t>不进行</w:t>
      </w:r>
      <w:r>
        <w:rPr>
          <w:rFonts w:hint="eastAsia" w:ascii="宋体" w:hAnsi="宋体" w:cs="宋体"/>
          <w:color w:val="auto"/>
          <w:sz w:val="24"/>
          <w:szCs w:val="32"/>
          <w:highlight w:val="none"/>
          <w:lang w:val="zh-CN"/>
        </w:rPr>
        <w:t>其他可能影响客观公正评审的活动。</w:t>
      </w:r>
    </w:p>
    <w:p>
      <w:pPr>
        <w:spacing w:line="360" w:lineRule="auto"/>
        <w:ind w:firstLine="480" w:firstLineChars="200"/>
        <w:rPr>
          <w:rFonts w:ascii="宋体" w:hAnsi="宋体" w:cs="宋体"/>
          <w:color w:val="auto"/>
          <w:sz w:val="24"/>
          <w:szCs w:val="32"/>
          <w:highlight w:val="none"/>
          <w:lang w:val="zh-CN"/>
        </w:rPr>
      </w:pPr>
      <w:r>
        <w:rPr>
          <w:rFonts w:hint="eastAsia" w:ascii="宋体" w:hAnsi="宋体" w:cs="宋体"/>
          <w:color w:val="auto"/>
          <w:sz w:val="24"/>
          <w:szCs w:val="32"/>
          <w:highlight w:val="none"/>
          <w:lang w:val="zh-CN"/>
        </w:rPr>
        <w:t>4、不向招标投标监督人员或机构请客、送礼及组织其它有可能影响客观公正监督的活动。</w:t>
      </w:r>
    </w:p>
    <w:p>
      <w:pPr>
        <w:spacing w:line="360" w:lineRule="auto"/>
        <w:ind w:firstLine="480" w:firstLineChars="200"/>
        <w:rPr>
          <w:rFonts w:ascii="宋体" w:hAnsi="宋体" w:cs="宋体"/>
          <w:color w:val="auto"/>
          <w:sz w:val="24"/>
          <w:szCs w:val="32"/>
          <w:highlight w:val="none"/>
          <w:lang w:val="zh-CN"/>
        </w:rPr>
      </w:pPr>
      <w:r>
        <w:rPr>
          <w:rFonts w:hint="eastAsia" w:ascii="宋体" w:hAnsi="宋体" w:cs="宋体"/>
          <w:color w:val="auto"/>
          <w:sz w:val="24"/>
          <w:szCs w:val="32"/>
          <w:highlight w:val="none"/>
        </w:rPr>
        <w:t>5、</w:t>
      </w:r>
      <w:r>
        <w:rPr>
          <w:rFonts w:hint="eastAsia" w:ascii="宋体" w:hAnsi="宋体" w:cs="宋体"/>
          <w:color w:val="auto"/>
          <w:sz w:val="24"/>
          <w:szCs w:val="32"/>
          <w:highlight w:val="none"/>
          <w:lang w:val="zh-CN"/>
        </w:rPr>
        <w:t>不以向采购人提供任何不正当利益的方式谋求合作关系。</w:t>
      </w:r>
    </w:p>
    <w:p>
      <w:pPr>
        <w:spacing w:line="360" w:lineRule="auto"/>
        <w:ind w:firstLine="480" w:firstLineChars="200"/>
        <w:rPr>
          <w:rFonts w:ascii="宋体" w:hAnsi="宋体" w:cs="宋体"/>
          <w:color w:val="auto"/>
          <w:sz w:val="24"/>
          <w:szCs w:val="32"/>
          <w:highlight w:val="none"/>
          <w:lang w:val="zh-CN"/>
        </w:rPr>
      </w:pPr>
      <w:r>
        <w:rPr>
          <w:rFonts w:hint="eastAsia" w:ascii="宋体" w:hAnsi="宋体" w:cs="宋体"/>
          <w:color w:val="auto"/>
          <w:sz w:val="24"/>
          <w:szCs w:val="32"/>
          <w:highlight w:val="none"/>
        </w:rPr>
        <w:t>6、</w:t>
      </w:r>
      <w:r>
        <w:rPr>
          <w:rFonts w:hint="eastAsia" w:ascii="宋体" w:hAnsi="宋体" w:cs="宋体"/>
          <w:color w:val="auto"/>
          <w:sz w:val="24"/>
          <w:szCs w:val="32"/>
          <w:highlight w:val="none"/>
          <w:lang w:val="zh-CN"/>
        </w:rPr>
        <w:t>不采取恶性竞争等不正当手段竞争业务。</w:t>
      </w:r>
    </w:p>
    <w:p>
      <w:pPr>
        <w:spacing w:line="360" w:lineRule="auto"/>
        <w:ind w:firstLine="480" w:firstLineChars="200"/>
        <w:rPr>
          <w:rFonts w:ascii="宋体" w:hAnsi="宋体" w:cs="宋体"/>
          <w:color w:val="auto"/>
          <w:sz w:val="24"/>
          <w:szCs w:val="32"/>
          <w:highlight w:val="none"/>
          <w:lang w:val="zh-CN"/>
        </w:rPr>
      </w:pPr>
      <w:r>
        <w:rPr>
          <w:rFonts w:hint="eastAsia" w:ascii="宋体" w:hAnsi="宋体" w:cs="宋体"/>
          <w:color w:val="auto"/>
          <w:sz w:val="24"/>
          <w:szCs w:val="32"/>
          <w:highlight w:val="none"/>
        </w:rPr>
        <w:t>7、禁止一切</w:t>
      </w:r>
      <w:r>
        <w:rPr>
          <w:rFonts w:hint="eastAsia" w:ascii="宋体" w:hAnsi="宋体" w:cs="宋体"/>
          <w:color w:val="auto"/>
          <w:sz w:val="24"/>
          <w:szCs w:val="32"/>
          <w:highlight w:val="none"/>
          <w:lang w:val="zh-CN"/>
        </w:rPr>
        <w:t>行贿倾向、建议等行为。</w:t>
      </w:r>
    </w:p>
    <w:p>
      <w:pPr>
        <w:spacing w:line="360" w:lineRule="auto"/>
        <w:ind w:firstLine="480" w:firstLineChars="200"/>
        <w:rPr>
          <w:rFonts w:ascii="宋体" w:hAnsi="宋体" w:cs="宋体"/>
          <w:color w:val="auto"/>
          <w:sz w:val="24"/>
          <w:szCs w:val="32"/>
          <w:highlight w:val="none"/>
          <w:lang w:val="zh-CN"/>
        </w:rPr>
      </w:pPr>
      <w:r>
        <w:rPr>
          <w:rFonts w:hint="eastAsia" w:ascii="宋体" w:hAnsi="宋体" w:cs="宋体"/>
          <w:color w:val="auto"/>
          <w:sz w:val="24"/>
          <w:szCs w:val="32"/>
          <w:highlight w:val="none"/>
        </w:rPr>
        <w:t>8、</w:t>
      </w:r>
      <w:r>
        <w:rPr>
          <w:rFonts w:hint="eastAsia" w:ascii="宋体" w:hAnsi="宋体" w:cs="宋体"/>
          <w:color w:val="auto"/>
          <w:sz w:val="24"/>
          <w:szCs w:val="32"/>
          <w:highlight w:val="none"/>
          <w:lang w:val="zh-CN"/>
        </w:rPr>
        <w:t>禁止员工有索贿、受贿等行为。</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9、严格遵守国家和省、市、区以及监管部门关于加强党风廉政建设的各项规定，加强对员工的廉政监督，积极开展廉政教育和职业道德教育，杜绝员工违纪违法行为的发生。</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lang w:val="zh-CN"/>
        </w:rPr>
        <w:t>本承诺书由承诺人盖章签字生效，如出现上述行为，</w:t>
      </w:r>
      <w:r>
        <w:rPr>
          <w:rFonts w:hint="eastAsia" w:ascii="宋体" w:hAnsi="宋体" w:cs="宋体"/>
          <w:color w:val="auto"/>
          <w:sz w:val="24"/>
          <w:szCs w:val="32"/>
          <w:highlight w:val="none"/>
        </w:rPr>
        <w:t>承诺人</w:t>
      </w:r>
      <w:r>
        <w:rPr>
          <w:rFonts w:hint="eastAsia" w:ascii="宋体" w:hAnsi="宋体" w:cs="宋体"/>
          <w:color w:val="auto"/>
          <w:sz w:val="24"/>
          <w:szCs w:val="32"/>
          <w:highlight w:val="none"/>
          <w:lang w:val="zh-CN"/>
        </w:rPr>
        <w:t>自愿承担相关责任，接受招标投标监督管理部门、纪检监察机关或司法机关调查处理。如发现本单位员工个人出现违反廉洁纪律的行为，各方均有权提醒并督促其纠正，或直接向我公司投诉、举报，经核查属实的，</w:t>
      </w:r>
      <w:r>
        <w:rPr>
          <w:rFonts w:hint="eastAsia" w:ascii="宋体" w:hAnsi="宋体" w:cs="宋体"/>
          <w:color w:val="auto"/>
          <w:sz w:val="24"/>
          <w:szCs w:val="32"/>
          <w:highlight w:val="none"/>
        </w:rPr>
        <w:t>将</w:t>
      </w:r>
      <w:r>
        <w:rPr>
          <w:rFonts w:hint="eastAsia" w:ascii="宋体" w:hAnsi="宋体" w:cs="宋体"/>
          <w:color w:val="auto"/>
          <w:sz w:val="24"/>
          <w:szCs w:val="32"/>
          <w:highlight w:val="none"/>
          <w:lang w:val="zh-CN"/>
        </w:rPr>
        <w:t>严格按照公司规定处理，涉及违法违纪的将追究相关法律责任。</w:t>
      </w:r>
    </w:p>
    <w:p>
      <w:pPr>
        <w:spacing w:line="360" w:lineRule="auto"/>
        <w:ind w:firstLine="480" w:firstLineChars="200"/>
        <w:rPr>
          <w:rFonts w:ascii="宋体" w:hAnsi="宋体" w:cs="宋体"/>
          <w:color w:val="auto"/>
          <w:sz w:val="24"/>
          <w:szCs w:val="32"/>
          <w:highlight w:val="none"/>
          <w:lang w:val="zh-CN"/>
        </w:rPr>
      </w:pPr>
      <w:r>
        <w:rPr>
          <w:rFonts w:hint="eastAsia" w:ascii="宋体" w:hAnsi="宋体" w:cs="宋体"/>
          <w:color w:val="auto"/>
          <w:sz w:val="24"/>
          <w:szCs w:val="32"/>
          <w:highlight w:val="none"/>
          <w:lang w:val="zh-CN"/>
        </w:rPr>
        <w:t>请采购人及供应商监督！</w:t>
      </w:r>
    </w:p>
    <w:p>
      <w:pPr>
        <w:pStyle w:val="2"/>
        <w:rPr>
          <w:color w:val="auto"/>
          <w:highlight w:val="none"/>
        </w:rPr>
      </w:pPr>
    </w:p>
    <w:p>
      <w:pPr>
        <w:pStyle w:val="2"/>
        <w:rPr>
          <w:color w:val="auto"/>
          <w:highlight w:val="none"/>
        </w:rPr>
      </w:pPr>
    </w:p>
    <w:p>
      <w:pPr>
        <w:jc w:val="right"/>
        <w:rPr>
          <w:color w:val="auto"/>
          <w:highlight w:val="none"/>
        </w:rPr>
        <w:sectPr>
          <w:headerReference r:id="rId5" w:type="first"/>
          <w:footerReference r:id="rId7" w:type="first"/>
          <w:headerReference r:id="rId3" w:type="default"/>
          <w:headerReference r:id="rId4" w:type="even"/>
          <w:footerReference r:id="rId6" w:type="even"/>
          <w:pgSz w:w="11850" w:h="16783"/>
          <w:pgMar w:top="1440" w:right="1304" w:bottom="1440" w:left="1417" w:header="851" w:footer="992" w:gutter="0"/>
          <w:pgNumType w:start="1"/>
          <w:cols w:space="0" w:num="1"/>
          <w:docGrid w:type="lines" w:linePitch="312" w:charSpace="0"/>
        </w:sectPr>
      </w:pPr>
      <w:r>
        <w:rPr>
          <w:rFonts w:hint="eastAsia"/>
          <w:color w:val="auto"/>
          <w:sz w:val="24"/>
          <w:szCs w:val="32"/>
          <w:highlight w:val="none"/>
          <w:lang w:val="zh-CN"/>
        </w:rPr>
        <w:t>招标代理机构：四川易通天和招标代理有限公司</w:t>
      </w:r>
    </w:p>
    <w:sdt>
      <w:sdtPr>
        <w:rPr>
          <w:rFonts w:ascii="宋体" w:hAnsi="宋体"/>
          <w:color w:val="auto"/>
          <w:highlight w:val="none"/>
        </w:rPr>
        <w:id w:val="147464418"/>
        <w:docPartObj>
          <w:docPartGallery w:val="Table of Contents"/>
          <w:docPartUnique/>
        </w:docPartObj>
      </w:sdtPr>
      <w:sdtEndPr>
        <w:rPr>
          <w:rFonts w:ascii="宋体" w:hAnsi="宋体"/>
          <w:color w:val="auto"/>
          <w:highlight w:val="none"/>
        </w:rPr>
      </w:sdtEndPr>
      <w:sdtContent>
        <w:p>
          <w:pPr>
            <w:jc w:val="center"/>
            <w:rPr>
              <w:color w:val="auto"/>
              <w:highlight w:val="none"/>
            </w:rPr>
          </w:pPr>
          <w:r>
            <w:rPr>
              <w:rFonts w:ascii="宋体" w:hAnsi="宋体"/>
              <w:b/>
              <w:bCs/>
              <w:color w:val="auto"/>
              <w:sz w:val="44"/>
              <w:szCs w:val="44"/>
              <w:highlight w:val="none"/>
            </w:rPr>
            <w:t>目录</w:t>
          </w:r>
        </w:p>
        <w:p>
          <w:pPr>
            <w:pStyle w:val="24"/>
            <w:tabs>
              <w:tab w:val="right" w:pos="4800"/>
              <w:tab w:val="right" w:leader="dot" w:pos="9129"/>
            </w:tabs>
            <w:rPr>
              <w:color w:val="auto"/>
              <w:highlight w:val="none"/>
            </w:rPr>
          </w:pPr>
          <w:r>
            <w:rPr>
              <w:color w:val="auto"/>
              <w:highlight w:val="none"/>
            </w:rPr>
            <w:fldChar w:fldCharType="begin"/>
          </w:r>
          <w:r>
            <w:rPr>
              <w:color w:val="auto"/>
              <w:highlight w:val="none"/>
            </w:rPr>
            <w:instrText xml:space="preserve">TOC \o "1-1" \h \u </w:instrText>
          </w:r>
          <w:r>
            <w:rPr>
              <w:color w:val="auto"/>
              <w:highlight w:val="none"/>
            </w:rPr>
            <w:fldChar w:fldCharType="separate"/>
          </w:r>
        </w:p>
        <w:p>
          <w:pPr>
            <w:pStyle w:val="24"/>
            <w:tabs>
              <w:tab w:val="right" w:leader="dot" w:pos="9129"/>
            </w:tabs>
            <w:spacing w:line="360" w:lineRule="auto"/>
            <w:rPr>
              <w:rFonts w:asciiTheme="minorEastAsia" w:hAnsiTheme="minorEastAsia" w:eastAsiaTheme="minorEastAsia" w:cstheme="minorEastAsia"/>
              <w:color w:val="auto"/>
              <w:sz w:val="24"/>
              <w:szCs w:val="24"/>
              <w:highlight w:val="none"/>
            </w:rPr>
          </w:pPr>
          <w:r>
            <w:rPr>
              <w:color w:val="auto"/>
              <w:highlight w:val="none"/>
            </w:rPr>
            <w:fldChar w:fldCharType="begin"/>
          </w:r>
          <w:r>
            <w:rPr>
              <w:color w:val="auto"/>
              <w:highlight w:val="none"/>
            </w:rPr>
            <w:instrText xml:space="preserve"> HYPERLINK \l "_Toc12202" </w:instrText>
          </w:r>
          <w:r>
            <w:rPr>
              <w:color w:val="auto"/>
              <w:highlight w:val="none"/>
            </w:rPr>
            <w:fldChar w:fldCharType="separate"/>
          </w:r>
          <w:r>
            <w:rPr>
              <w:rFonts w:hint="eastAsia" w:asciiTheme="minorEastAsia" w:hAnsiTheme="minorEastAsia" w:eastAsiaTheme="minorEastAsia" w:cstheme="minorEastAsia"/>
              <w:color w:val="auto"/>
              <w:sz w:val="24"/>
              <w:szCs w:val="24"/>
              <w:highlight w:val="none"/>
            </w:rPr>
            <w:t>第一章  磋商邀请</w:t>
          </w:r>
          <w:r>
            <w:rPr>
              <w:rFonts w:hint="eastAsia" w:asciiTheme="minorEastAsia" w:hAnsiTheme="minorEastAsia" w:eastAsiaTheme="minorEastAsia" w:cstheme="minorEastAsia"/>
              <w:color w:val="auto"/>
              <w:sz w:val="24"/>
              <w:szCs w:val="24"/>
              <w:highlight w:val="none"/>
            </w:rPr>
            <w:tab/>
          </w: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color w:val="auto"/>
              <w:sz w:val="24"/>
              <w:szCs w:val="24"/>
              <w:highlight w:val="none"/>
            </w:rPr>
            <w:instrText xml:space="preserve"> PAGEREF _Toc12202 </w:instrText>
          </w:r>
          <w:r>
            <w:rPr>
              <w:rFonts w:hint="eastAsia" w:asciiTheme="minorEastAsia" w:hAnsiTheme="minorEastAsia" w:eastAsiaTheme="minorEastAsia" w:cstheme="minorEastAsia"/>
              <w:color w:val="auto"/>
              <w:sz w:val="24"/>
              <w:szCs w:val="24"/>
              <w:highlight w:val="none"/>
            </w:rPr>
            <w:fldChar w:fldCharType="separate"/>
          </w:r>
          <w:r>
            <w:rPr>
              <w:rFonts w:hint="eastAsia" w:asciiTheme="minorEastAsia" w:hAnsiTheme="minorEastAsia" w:eastAsiaTheme="minorEastAsia" w:cstheme="minorEastAsia"/>
              <w:color w:val="auto"/>
              <w:sz w:val="24"/>
              <w:szCs w:val="24"/>
              <w:highlight w:val="none"/>
            </w:rPr>
            <w:t>- 2 -</w:t>
          </w:r>
          <w:r>
            <w:rPr>
              <w:rFonts w:hint="eastAsia" w:asciiTheme="minorEastAsia" w:hAnsiTheme="minorEastAsia" w:eastAsiaTheme="minorEastAsia" w:cstheme="minorEastAsia"/>
              <w:color w:val="auto"/>
              <w:sz w:val="24"/>
              <w:szCs w:val="24"/>
              <w:highlight w:val="none"/>
            </w:rPr>
            <w:fldChar w:fldCharType="end"/>
          </w:r>
          <w:r>
            <w:rPr>
              <w:rFonts w:hint="eastAsia" w:asciiTheme="minorEastAsia" w:hAnsiTheme="minorEastAsia" w:eastAsiaTheme="minorEastAsia" w:cstheme="minorEastAsia"/>
              <w:color w:val="auto"/>
              <w:sz w:val="24"/>
              <w:szCs w:val="24"/>
              <w:highlight w:val="none"/>
            </w:rPr>
            <w:fldChar w:fldCharType="end"/>
          </w:r>
        </w:p>
        <w:p>
          <w:pPr>
            <w:pStyle w:val="24"/>
            <w:tabs>
              <w:tab w:val="right" w:leader="dot" w:pos="9129"/>
            </w:tabs>
            <w:spacing w:line="360" w:lineRule="auto"/>
            <w:rPr>
              <w:rFonts w:asciiTheme="minorEastAsia" w:hAnsiTheme="minorEastAsia" w:eastAsiaTheme="minorEastAsia" w:cstheme="minorEastAsia"/>
              <w:color w:val="auto"/>
              <w:sz w:val="24"/>
              <w:szCs w:val="24"/>
              <w:highlight w:val="none"/>
            </w:rPr>
          </w:pPr>
          <w:r>
            <w:rPr>
              <w:color w:val="auto"/>
              <w:highlight w:val="none"/>
            </w:rPr>
            <w:fldChar w:fldCharType="begin"/>
          </w:r>
          <w:r>
            <w:rPr>
              <w:color w:val="auto"/>
              <w:highlight w:val="none"/>
            </w:rPr>
            <w:instrText xml:space="preserve"> HYPERLINK \l "_Toc13769" </w:instrText>
          </w:r>
          <w:r>
            <w:rPr>
              <w:color w:val="auto"/>
              <w:highlight w:val="none"/>
            </w:rPr>
            <w:fldChar w:fldCharType="separate"/>
          </w:r>
          <w:r>
            <w:rPr>
              <w:rFonts w:hint="eastAsia" w:asciiTheme="minorEastAsia" w:hAnsiTheme="minorEastAsia" w:eastAsiaTheme="minorEastAsia" w:cstheme="minorEastAsia"/>
              <w:color w:val="auto"/>
              <w:sz w:val="24"/>
              <w:szCs w:val="24"/>
              <w:highlight w:val="none"/>
            </w:rPr>
            <w:t>第二章  磋商须知</w:t>
          </w:r>
          <w:r>
            <w:rPr>
              <w:rFonts w:hint="eastAsia" w:asciiTheme="minorEastAsia" w:hAnsiTheme="minorEastAsia" w:eastAsiaTheme="minorEastAsia" w:cstheme="minorEastAsia"/>
              <w:color w:val="auto"/>
              <w:sz w:val="24"/>
              <w:szCs w:val="24"/>
              <w:highlight w:val="none"/>
            </w:rPr>
            <w:tab/>
          </w: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color w:val="auto"/>
              <w:sz w:val="24"/>
              <w:szCs w:val="24"/>
              <w:highlight w:val="none"/>
            </w:rPr>
            <w:instrText xml:space="preserve"> PAGEREF _Toc13769 </w:instrText>
          </w:r>
          <w:r>
            <w:rPr>
              <w:rFonts w:hint="eastAsia" w:asciiTheme="minorEastAsia" w:hAnsiTheme="minorEastAsia" w:eastAsiaTheme="minorEastAsia" w:cstheme="minorEastAsia"/>
              <w:color w:val="auto"/>
              <w:sz w:val="24"/>
              <w:szCs w:val="24"/>
              <w:highlight w:val="none"/>
            </w:rPr>
            <w:fldChar w:fldCharType="separate"/>
          </w:r>
          <w:r>
            <w:rPr>
              <w:rFonts w:hint="eastAsia" w:asciiTheme="minorEastAsia" w:hAnsiTheme="minorEastAsia" w:eastAsiaTheme="minorEastAsia" w:cstheme="minorEastAsia"/>
              <w:color w:val="auto"/>
              <w:sz w:val="24"/>
              <w:szCs w:val="24"/>
              <w:highlight w:val="none"/>
            </w:rPr>
            <w:t>- 5 -</w:t>
          </w:r>
          <w:r>
            <w:rPr>
              <w:rFonts w:hint="eastAsia" w:asciiTheme="minorEastAsia" w:hAnsiTheme="minorEastAsia" w:eastAsiaTheme="minorEastAsia" w:cstheme="minorEastAsia"/>
              <w:color w:val="auto"/>
              <w:sz w:val="24"/>
              <w:szCs w:val="24"/>
              <w:highlight w:val="none"/>
            </w:rPr>
            <w:fldChar w:fldCharType="end"/>
          </w:r>
          <w:r>
            <w:rPr>
              <w:rFonts w:hint="eastAsia" w:asciiTheme="minorEastAsia" w:hAnsiTheme="minorEastAsia" w:eastAsiaTheme="minorEastAsia" w:cstheme="minorEastAsia"/>
              <w:color w:val="auto"/>
              <w:sz w:val="24"/>
              <w:szCs w:val="24"/>
              <w:highlight w:val="none"/>
            </w:rPr>
            <w:fldChar w:fldCharType="end"/>
          </w:r>
        </w:p>
        <w:p>
          <w:pPr>
            <w:pStyle w:val="24"/>
            <w:tabs>
              <w:tab w:val="right" w:leader="dot" w:pos="9129"/>
            </w:tabs>
            <w:spacing w:line="360" w:lineRule="auto"/>
            <w:rPr>
              <w:rFonts w:asciiTheme="minorEastAsia" w:hAnsiTheme="minorEastAsia" w:eastAsiaTheme="minorEastAsia" w:cstheme="minorEastAsia"/>
              <w:color w:val="auto"/>
              <w:sz w:val="24"/>
              <w:szCs w:val="24"/>
              <w:highlight w:val="none"/>
            </w:rPr>
          </w:pPr>
          <w:r>
            <w:rPr>
              <w:color w:val="auto"/>
              <w:highlight w:val="none"/>
            </w:rPr>
            <w:fldChar w:fldCharType="begin"/>
          </w:r>
          <w:r>
            <w:rPr>
              <w:color w:val="auto"/>
              <w:highlight w:val="none"/>
            </w:rPr>
            <w:instrText xml:space="preserve"> HYPERLINK \l "_Toc31574" </w:instrText>
          </w:r>
          <w:r>
            <w:rPr>
              <w:color w:val="auto"/>
              <w:highlight w:val="none"/>
            </w:rPr>
            <w:fldChar w:fldCharType="separate"/>
          </w:r>
          <w:r>
            <w:rPr>
              <w:rFonts w:hint="eastAsia" w:asciiTheme="minorEastAsia" w:hAnsiTheme="minorEastAsia" w:eastAsiaTheme="minorEastAsia" w:cstheme="minorEastAsia"/>
              <w:color w:val="auto"/>
              <w:sz w:val="24"/>
              <w:szCs w:val="24"/>
              <w:highlight w:val="none"/>
            </w:rPr>
            <w:t>第三章  供应商资格条件要求</w:t>
          </w:r>
          <w:r>
            <w:rPr>
              <w:rFonts w:hint="eastAsia" w:asciiTheme="minorEastAsia" w:hAnsiTheme="minorEastAsia" w:eastAsiaTheme="minorEastAsia" w:cstheme="minorEastAsia"/>
              <w:color w:val="auto"/>
              <w:sz w:val="24"/>
              <w:szCs w:val="24"/>
              <w:highlight w:val="none"/>
            </w:rPr>
            <w:tab/>
          </w: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color w:val="auto"/>
              <w:sz w:val="24"/>
              <w:szCs w:val="24"/>
              <w:highlight w:val="none"/>
            </w:rPr>
            <w:instrText xml:space="preserve"> PAGEREF _Toc31574 </w:instrText>
          </w:r>
          <w:r>
            <w:rPr>
              <w:rFonts w:hint="eastAsia" w:asciiTheme="minorEastAsia" w:hAnsiTheme="minorEastAsia" w:eastAsiaTheme="minorEastAsia" w:cstheme="minorEastAsia"/>
              <w:color w:val="auto"/>
              <w:sz w:val="24"/>
              <w:szCs w:val="24"/>
              <w:highlight w:val="none"/>
            </w:rPr>
            <w:fldChar w:fldCharType="separate"/>
          </w:r>
          <w:r>
            <w:rPr>
              <w:rFonts w:hint="eastAsia" w:asciiTheme="minorEastAsia" w:hAnsiTheme="minorEastAsia" w:eastAsiaTheme="minorEastAsia" w:cstheme="minorEastAsia"/>
              <w:color w:val="auto"/>
              <w:sz w:val="24"/>
              <w:szCs w:val="24"/>
              <w:highlight w:val="none"/>
            </w:rPr>
            <w:t>- 20 -</w:t>
          </w:r>
          <w:r>
            <w:rPr>
              <w:rFonts w:hint="eastAsia" w:asciiTheme="minorEastAsia" w:hAnsiTheme="minorEastAsia" w:eastAsiaTheme="minorEastAsia" w:cstheme="minorEastAsia"/>
              <w:color w:val="auto"/>
              <w:sz w:val="24"/>
              <w:szCs w:val="24"/>
              <w:highlight w:val="none"/>
            </w:rPr>
            <w:fldChar w:fldCharType="end"/>
          </w:r>
          <w:r>
            <w:rPr>
              <w:rFonts w:hint="eastAsia" w:asciiTheme="minorEastAsia" w:hAnsiTheme="minorEastAsia" w:eastAsiaTheme="minorEastAsia" w:cstheme="minorEastAsia"/>
              <w:color w:val="auto"/>
              <w:sz w:val="24"/>
              <w:szCs w:val="24"/>
              <w:highlight w:val="none"/>
            </w:rPr>
            <w:fldChar w:fldCharType="end"/>
          </w:r>
        </w:p>
        <w:p>
          <w:pPr>
            <w:pStyle w:val="24"/>
            <w:tabs>
              <w:tab w:val="right" w:leader="dot" w:pos="9129"/>
            </w:tabs>
            <w:spacing w:line="360" w:lineRule="auto"/>
            <w:rPr>
              <w:rFonts w:asciiTheme="minorEastAsia" w:hAnsiTheme="minorEastAsia" w:eastAsiaTheme="minorEastAsia" w:cstheme="minorEastAsia"/>
              <w:color w:val="auto"/>
              <w:sz w:val="24"/>
              <w:szCs w:val="24"/>
              <w:highlight w:val="none"/>
            </w:rPr>
          </w:pPr>
          <w:r>
            <w:rPr>
              <w:color w:val="auto"/>
              <w:highlight w:val="none"/>
            </w:rPr>
            <w:fldChar w:fldCharType="begin"/>
          </w:r>
          <w:r>
            <w:rPr>
              <w:color w:val="auto"/>
              <w:highlight w:val="none"/>
            </w:rPr>
            <w:instrText xml:space="preserve"> HYPERLINK \l "_Toc23843" </w:instrText>
          </w:r>
          <w:r>
            <w:rPr>
              <w:color w:val="auto"/>
              <w:highlight w:val="none"/>
            </w:rPr>
            <w:fldChar w:fldCharType="separate"/>
          </w:r>
          <w:r>
            <w:rPr>
              <w:rFonts w:hint="eastAsia" w:asciiTheme="minorEastAsia" w:hAnsiTheme="minorEastAsia" w:eastAsiaTheme="minorEastAsia" w:cstheme="minorEastAsia"/>
              <w:color w:val="auto"/>
              <w:sz w:val="24"/>
              <w:szCs w:val="24"/>
              <w:highlight w:val="none"/>
            </w:rPr>
            <w:t>第四章  供应商资格证明材料</w:t>
          </w:r>
          <w:r>
            <w:rPr>
              <w:rFonts w:hint="eastAsia" w:asciiTheme="minorEastAsia" w:hAnsiTheme="minorEastAsia" w:eastAsiaTheme="minorEastAsia" w:cstheme="minorEastAsia"/>
              <w:color w:val="auto"/>
              <w:sz w:val="24"/>
              <w:szCs w:val="24"/>
              <w:highlight w:val="none"/>
            </w:rPr>
            <w:tab/>
          </w: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color w:val="auto"/>
              <w:sz w:val="24"/>
              <w:szCs w:val="24"/>
              <w:highlight w:val="none"/>
            </w:rPr>
            <w:instrText xml:space="preserve"> PAGEREF _Toc23843 </w:instrText>
          </w:r>
          <w:r>
            <w:rPr>
              <w:rFonts w:hint="eastAsia" w:asciiTheme="minorEastAsia" w:hAnsiTheme="minorEastAsia" w:eastAsiaTheme="minorEastAsia" w:cstheme="minorEastAsia"/>
              <w:color w:val="auto"/>
              <w:sz w:val="24"/>
              <w:szCs w:val="24"/>
              <w:highlight w:val="none"/>
            </w:rPr>
            <w:fldChar w:fldCharType="separate"/>
          </w:r>
          <w:r>
            <w:rPr>
              <w:rFonts w:hint="eastAsia" w:asciiTheme="minorEastAsia" w:hAnsiTheme="minorEastAsia" w:eastAsiaTheme="minorEastAsia" w:cstheme="minorEastAsia"/>
              <w:color w:val="auto"/>
              <w:sz w:val="24"/>
              <w:szCs w:val="24"/>
              <w:highlight w:val="none"/>
            </w:rPr>
            <w:t>- 22 -</w:t>
          </w:r>
          <w:r>
            <w:rPr>
              <w:rFonts w:hint="eastAsia" w:asciiTheme="minorEastAsia" w:hAnsiTheme="minorEastAsia" w:eastAsiaTheme="minorEastAsia" w:cstheme="minorEastAsia"/>
              <w:color w:val="auto"/>
              <w:sz w:val="24"/>
              <w:szCs w:val="24"/>
              <w:highlight w:val="none"/>
            </w:rPr>
            <w:fldChar w:fldCharType="end"/>
          </w:r>
          <w:r>
            <w:rPr>
              <w:rFonts w:hint="eastAsia" w:asciiTheme="minorEastAsia" w:hAnsiTheme="minorEastAsia" w:eastAsiaTheme="minorEastAsia" w:cstheme="minorEastAsia"/>
              <w:color w:val="auto"/>
              <w:sz w:val="24"/>
              <w:szCs w:val="24"/>
              <w:highlight w:val="none"/>
            </w:rPr>
            <w:fldChar w:fldCharType="end"/>
          </w:r>
        </w:p>
        <w:p>
          <w:pPr>
            <w:pStyle w:val="24"/>
            <w:tabs>
              <w:tab w:val="right" w:leader="dot" w:pos="9129"/>
            </w:tabs>
            <w:spacing w:line="360" w:lineRule="auto"/>
            <w:rPr>
              <w:rFonts w:asciiTheme="minorEastAsia" w:hAnsiTheme="minorEastAsia" w:eastAsiaTheme="minorEastAsia" w:cstheme="minorEastAsia"/>
              <w:color w:val="auto"/>
              <w:sz w:val="24"/>
              <w:szCs w:val="24"/>
              <w:highlight w:val="none"/>
            </w:rPr>
          </w:pPr>
          <w:r>
            <w:rPr>
              <w:color w:val="auto"/>
              <w:highlight w:val="none"/>
            </w:rPr>
            <w:fldChar w:fldCharType="begin"/>
          </w:r>
          <w:r>
            <w:rPr>
              <w:color w:val="auto"/>
              <w:highlight w:val="none"/>
            </w:rPr>
            <w:instrText xml:space="preserve"> HYPERLINK \l "_Toc12747" </w:instrText>
          </w:r>
          <w:r>
            <w:rPr>
              <w:color w:val="auto"/>
              <w:highlight w:val="none"/>
            </w:rPr>
            <w:fldChar w:fldCharType="separate"/>
          </w:r>
          <w:r>
            <w:rPr>
              <w:rFonts w:hint="eastAsia" w:asciiTheme="minorEastAsia" w:hAnsiTheme="minorEastAsia" w:eastAsiaTheme="minorEastAsia" w:cstheme="minorEastAsia"/>
              <w:color w:val="auto"/>
              <w:sz w:val="24"/>
              <w:szCs w:val="24"/>
              <w:highlight w:val="none"/>
            </w:rPr>
            <w:t>第五章  采购项目技术、服务、政府采购合同内容条款及其他商务要求</w:t>
          </w:r>
          <w:r>
            <w:rPr>
              <w:rFonts w:hint="eastAsia" w:asciiTheme="minorEastAsia" w:hAnsiTheme="minorEastAsia" w:eastAsiaTheme="minorEastAsia" w:cstheme="minorEastAsia"/>
              <w:color w:val="auto"/>
              <w:sz w:val="24"/>
              <w:szCs w:val="24"/>
              <w:highlight w:val="none"/>
            </w:rPr>
            <w:tab/>
          </w: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color w:val="auto"/>
              <w:sz w:val="24"/>
              <w:szCs w:val="24"/>
              <w:highlight w:val="none"/>
            </w:rPr>
            <w:instrText xml:space="preserve"> PAGEREF _Toc12747 </w:instrText>
          </w:r>
          <w:r>
            <w:rPr>
              <w:rFonts w:hint="eastAsia" w:asciiTheme="minorEastAsia" w:hAnsiTheme="minorEastAsia" w:eastAsiaTheme="minorEastAsia" w:cstheme="minorEastAsia"/>
              <w:color w:val="auto"/>
              <w:sz w:val="24"/>
              <w:szCs w:val="24"/>
              <w:highlight w:val="none"/>
            </w:rPr>
            <w:fldChar w:fldCharType="separate"/>
          </w:r>
          <w:r>
            <w:rPr>
              <w:rFonts w:hint="eastAsia" w:asciiTheme="minorEastAsia" w:hAnsiTheme="minorEastAsia" w:eastAsiaTheme="minorEastAsia" w:cstheme="minorEastAsia"/>
              <w:color w:val="auto"/>
              <w:sz w:val="24"/>
              <w:szCs w:val="24"/>
              <w:highlight w:val="none"/>
            </w:rPr>
            <w:t>- 24 -</w:t>
          </w:r>
          <w:r>
            <w:rPr>
              <w:rFonts w:hint="eastAsia" w:asciiTheme="minorEastAsia" w:hAnsiTheme="minorEastAsia" w:eastAsiaTheme="minorEastAsia" w:cstheme="minorEastAsia"/>
              <w:color w:val="auto"/>
              <w:sz w:val="24"/>
              <w:szCs w:val="24"/>
              <w:highlight w:val="none"/>
            </w:rPr>
            <w:fldChar w:fldCharType="end"/>
          </w:r>
          <w:r>
            <w:rPr>
              <w:rFonts w:hint="eastAsia" w:asciiTheme="minorEastAsia" w:hAnsiTheme="minorEastAsia" w:eastAsiaTheme="minorEastAsia" w:cstheme="minorEastAsia"/>
              <w:color w:val="auto"/>
              <w:sz w:val="24"/>
              <w:szCs w:val="24"/>
              <w:highlight w:val="none"/>
            </w:rPr>
            <w:fldChar w:fldCharType="end"/>
          </w:r>
        </w:p>
        <w:p>
          <w:pPr>
            <w:pStyle w:val="24"/>
            <w:tabs>
              <w:tab w:val="right" w:leader="dot" w:pos="9129"/>
            </w:tabs>
            <w:spacing w:line="360" w:lineRule="auto"/>
            <w:rPr>
              <w:rFonts w:asciiTheme="minorEastAsia" w:hAnsiTheme="minorEastAsia" w:eastAsiaTheme="minorEastAsia" w:cstheme="minorEastAsia"/>
              <w:color w:val="auto"/>
              <w:sz w:val="24"/>
              <w:szCs w:val="24"/>
              <w:highlight w:val="none"/>
            </w:rPr>
          </w:pPr>
          <w:r>
            <w:rPr>
              <w:color w:val="auto"/>
              <w:highlight w:val="none"/>
            </w:rPr>
            <w:fldChar w:fldCharType="begin"/>
          </w:r>
          <w:r>
            <w:rPr>
              <w:color w:val="auto"/>
              <w:highlight w:val="none"/>
            </w:rPr>
            <w:instrText xml:space="preserve"> HYPERLINK \l "_Toc20821" </w:instrText>
          </w:r>
          <w:r>
            <w:rPr>
              <w:color w:val="auto"/>
              <w:highlight w:val="none"/>
            </w:rPr>
            <w:fldChar w:fldCharType="separate"/>
          </w:r>
          <w:r>
            <w:rPr>
              <w:rFonts w:hint="eastAsia" w:asciiTheme="minorEastAsia" w:hAnsiTheme="minorEastAsia" w:eastAsiaTheme="minorEastAsia" w:cstheme="minorEastAsia"/>
              <w:color w:val="auto"/>
              <w:sz w:val="24"/>
              <w:szCs w:val="24"/>
              <w:highlight w:val="none"/>
            </w:rPr>
            <w:t>第六章  磋商内容、磋商过程中可实质性变动的内容</w:t>
          </w:r>
          <w:r>
            <w:rPr>
              <w:rFonts w:hint="eastAsia" w:asciiTheme="minorEastAsia" w:hAnsiTheme="minorEastAsia" w:eastAsiaTheme="minorEastAsia" w:cstheme="minorEastAsia"/>
              <w:color w:val="auto"/>
              <w:sz w:val="24"/>
              <w:szCs w:val="24"/>
              <w:highlight w:val="none"/>
            </w:rPr>
            <w:tab/>
          </w: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color w:val="auto"/>
              <w:sz w:val="24"/>
              <w:szCs w:val="24"/>
              <w:highlight w:val="none"/>
            </w:rPr>
            <w:instrText xml:space="preserve"> PAGEREF _Toc20821 </w:instrText>
          </w:r>
          <w:r>
            <w:rPr>
              <w:rFonts w:hint="eastAsia" w:asciiTheme="minorEastAsia" w:hAnsiTheme="minorEastAsia" w:eastAsiaTheme="minorEastAsia" w:cstheme="minorEastAsia"/>
              <w:color w:val="auto"/>
              <w:sz w:val="24"/>
              <w:szCs w:val="24"/>
              <w:highlight w:val="none"/>
            </w:rPr>
            <w:fldChar w:fldCharType="separate"/>
          </w:r>
          <w:r>
            <w:rPr>
              <w:rFonts w:hint="eastAsia" w:asciiTheme="minorEastAsia" w:hAnsiTheme="minorEastAsia" w:eastAsiaTheme="minorEastAsia" w:cstheme="minorEastAsia"/>
              <w:color w:val="auto"/>
              <w:sz w:val="24"/>
              <w:szCs w:val="24"/>
              <w:highlight w:val="none"/>
            </w:rPr>
            <w:t>- 26 -</w:t>
          </w:r>
          <w:r>
            <w:rPr>
              <w:rFonts w:hint="eastAsia" w:asciiTheme="minorEastAsia" w:hAnsiTheme="minorEastAsia" w:eastAsiaTheme="minorEastAsia" w:cstheme="minorEastAsia"/>
              <w:color w:val="auto"/>
              <w:sz w:val="24"/>
              <w:szCs w:val="24"/>
              <w:highlight w:val="none"/>
            </w:rPr>
            <w:fldChar w:fldCharType="end"/>
          </w:r>
          <w:r>
            <w:rPr>
              <w:rFonts w:hint="eastAsia" w:asciiTheme="minorEastAsia" w:hAnsiTheme="minorEastAsia" w:eastAsiaTheme="minorEastAsia" w:cstheme="minorEastAsia"/>
              <w:color w:val="auto"/>
              <w:sz w:val="24"/>
              <w:szCs w:val="24"/>
              <w:highlight w:val="none"/>
            </w:rPr>
            <w:fldChar w:fldCharType="end"/>
          </w:r>
        </w:p>
        <w:p>
          <w:pPr>
            <w:pStyle w:val="24"/>
            <w:tabs>
              <w:tab w:val="right" w:leader="dot" w:pos="9129"/>
            </w:tabs>
            <w:spacing w:line="360" w:lineRule="auto"/>
            <w:rPr>
              <w:rFonts w:asciiTheme="minorEastAsia" w:hAnsiTheme="minorEastAsia" w:eastAsiaTheme="minorEastAsia" w:cstheme="minorEastAsia"/>
              <w:color w:val="auto"/>
              <w:sz w:val="24"/>
              <w:szCs w:val="24"/>
              <w:highlight w:val="none"/>
            </w:rPr>
          </w:pPr>
          <w:r>
            <w:rPr>
              <w:color w:val="auto"/>
              <w:highlight w:val="none"/>
            </w:rPr>
            <w:fldChar w:fldCharType="begin"/>
          </w:r>
          <w:r>
            <w:rPr>
              <w:color w:val="auto"/>
              <w:highlight w:val="none"/>
            </w:rPr>
            <w:instrText xml:space="preserve"> HYPERLINK \l "_Toc14112" </w:instrText>
          </w:r>
          <w:r>
            <w:rPr>
              <w:color w:val="auto"/>
              <w:highlight w:val="none"/>
            </w:rPr>
            <w:fldChar w:fldCharType="separate"/>
          </w:r>
          <w:r>
            <w:rPr>
              <w:rFonts w:hint="eastAsia" w:asciiTheme="minorEastAsia" w:hAnsiTheme="minorEastAsia" w:eastAsiaTheme="minorEastAsia" w:cstheme="minorEastAsia"/>
              <w:color w:val="auto"/>
              <w:sz w:val="24"/>
              <w:szCs w:val="24"/>
              <w:highlight w:val="none"/>
            </w:rPr>
            <w:t>第七章  响应文件格式</w:t>
          </w:r>
          <w:r>
            <w:rPr>
              <w:rFonts w:hint="eastAsia" w:asciiTheme="minorEastAsia" w:hAnsiTheme="minorEastAsia" w:eastAsiaTheme="minorEastAsia" w:cstheme="minorEastAsia"/>
              <w:color w:val="auto"/>
              <w:sz w:val="24"/>
              <w:szCs w:val="24"/>
              <w:highlight w:val="none"/>
            </w:rPr>
            <w:tab/>
          </w: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color w:val="auto"/>
              <w:sz w:val="24"/>
              <w:szCs w:val="24"/>
              <w:highlight w:val="none"/>
            </w:rPr>
            <w:instrText xml:space="preserve"> PAGEREF _Toc14112 </w:instrText>
          </w:r>
          <w:r>
            <w:rPr>
              <w:rFonts w:hint="eastAsia" w:asciiTheme="minorEastAsia" w:hAnsiTheme="minorEastAsia" w:eastAsiaTheme="minorEastAsia" w:cstheme="minorEastAsia"/>
              <w:color w:val="auto"/>
              <w:sz w:val="24"/>
              <w:szCs w:val="24"/>
              <w:highlight w:val="none"/>
            </w:rPr>
            <w:fldChar w:fldCharType="separate"/>
          </w:r>
          <w:r>
            <w:rPr>
              <w:rFonts w:hint="eastAsia" w:asciiTheme="minorEastAsia" w:hAnsiTheme="minorEastAsia" w:eastAsiaTheme="minorEastAsia" w:cstheme="minorEastAsia"/>
              <w:color w:val="auto"/>
              <w:sz w:val="24"/>
              <w:szCs w:val="24"/>
              <w:highlight w:val="none"/>
            </w:rPr>
            <w:t>- 27 -</w:t>
          </w:r>
          <w:r>
            <w:rPr>
              <w:rFonts w:hint="eastAsia" w:asciiTheme="minorEastAsia" w:hAnsiTheme="minorEastAsia" w:eastAsiaTheme="minorEastAsia" w:cstheme="minorEastAsia"/>
              <w:color w:val="auto"/>
              <w:sz w:val="24"/>
              <w:szCs w:val="24"/>
              <w:highlight w:val="none"/>
            </w:rPr>
            <w:fldChar w:fldCharType="end"/>
          </w:r>
          <w:r>
            <w:rPr>
              <w:rFonts w:hint="eastAsia" w:asciiTheme="minorEastAsia" w:hAnsiTheme="minorEastAsia" w:eastAsiaTheme="minorEastAsia" w:cstheme="minorEastAsia"/>
              <w:color w:val="auto"/>
              <w:sz w:val="24"/>
              <w:szCs w:val="24"/>
              <w:highlight w:val="none"/>
            </w:rPr>
            <w:fldChar w:fldCharType="end"/>
          </w:r>
        </w:p>
        <w:p>
          <w:pPr>
            <w:pStyle w:val="24"/>
            <w:tabs>
              <w:tab w:val="right" w:leader="dot" w:pos="9129"/>
            </w:tabs>
            <w:spacing w:line="360" w:lineRule="auto"/>
            <w:rPr>
              <w:rFonts w:asciiTheme="minorEastAsia" w:hAnsiTheme="minorEastAsia" w:eastAsiaTheme="minorEastAsia" w:cstheme="minorEastAsia"/>
              <w:color w:val="auto"/>
              <w:sz w:val="24"/>
              <w:szCs w:val="24"/>
              <w:highlight w:val="none"/>
            </w:rPr>
          </w:pPr>
          <w:r>
            <w:rPr>
              <w:color w:val="auto"/>
              <w:highlight w:val="none"/>
            </w:rPr>
            <w:fldChar w:fldCharType="begin"/>
          </w:r>
          <w:r>
            <w:rPr>
              <w:color w:val="auto"/>
              <w:highlight w:val="none"/>
            </w:rPr>
            <w:instrText xml:space="preserve"> HYPERLINK \l "_Toc8631" </w:instrText>
          </w:r>
          <w:r>
            <w:rPr>
              <w:color w:val="auto"/>
              <w:highlight w:val="none"/>
            </w:rPr>
            <w:fldChar w:fldCharType="separate"/>
          </w:r>
          <w:r>
            <w:rPr>
              <w:rFonts w:hint="eastAsia" w:asciiTheme="minorEastAsia" w:hAnsiTheme="minorEastAsia" w:eastAsiaTheme="minorEastAsia" w:cstheme="minorEastAsia"/>
              <w:color w:val="auto"/>
              <w:sz w:val="24"/>
              <w:szCs w:val="24"/>
              <w:highlight w:val="none"/>
            </w:rPr>
            <w:t>第八章  评审方法</w:t>
          </w:r>
          <w:r>
            <w:rPr>
              <w:rFonts w:hint="eastAsia" w:asciiTheme="minorEastAsia" w:hAnsiTheme="minorEastAsia" w:eastAsiaTheme="minorEastAsia" w:cstheme="minorEastAsia"/>
              <w:color w:val="auto"/>
              <w:sz w:val="24"/>
              <w:szCs w:val="24"/>
              <w:highlight w:val="none"/>
            </w:rPr>
            <w:tab/>
          </w: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color w:val="auto"/>
              <w:sz w:val="24"/>
              <w:szCs w:val="24"/>
              <w:highlight w:val="none"/>
            </w:rPr>
            <w:instrText xml:space="preserve"> PAGEREF _Toc8631 </w:instrText>
          </w:r>
          <w:r>
            <w:rPr>
              <w:rFonts w:hint="eastAsia" w:asciiTheme="minorEastAsia" w:hAnsiTheme="minorEastAsia" w:eastAsiaTheme="minorEastAsia" w:cstheme="minorEastAsia"/>
              <w:color w:val="auto"/>
              <w:sz w:val="24"/>
              <w:szCs w:val="24"/>
              <w:highlight w:val="none"/>
            </w:rPr>
            <w:fldChar w:fldCharType="separate"/>
          </w:r>
          <w:r>
            <w:rPr>
              <w:rFonts w:hint="eastAsia" w:asciiTheme="minorEastAsia" w:hAnsiTheme="minorEastAsia" w:eastAsiaTheme="minorEastAsia" w:cstheme="minorEastAsia"/>
              <w:color w:val="auto"/>
              <w:sz w:val="24"/>
              <w:szCs w:val="24"/>
              <w:highlight w:val="none"/>
            </w:rPr>
            <w:t>- 51 -</w:t>
          </w:r>
          <w:r>
            <w:rPr>
              <w:rFonts w:hint="eastAsia" w:asciiTheme="minorEastAsia" w:hAnsiTheme="minorEastAsia" w:eastAsiaTheme="minorEastAsia" w:cstheme="minorEastAsia"/>
              <w:color w:val="auto"/>
              <w:sz w:val="24"/>
              <w:szCs w:val="24"/>
              <w:highlight w:val="none"/>
            </w:rPr>
            <w:fldChar w:fldCharType="end"/>
          </w:r>
          <w:r>
            <w:rPr>
              <w:rFonts w:hint="eastAsia" w:asciiTheme="minorEastAsia" w:hAnsiTheme="minorEastAsia" w:eastAsiaTheme="minorEastAsia" w:cstheme="minorEastAsia"/>
              <w:color w:val="auto"/>
              <w:sz w:val="24"/>
              <w:szCs w:val="24"/>
              <w:highlight w:val="none"/>
            </w:rPr>
            <w:fldChar w:fldCharType="end"/>
          </w:r>
        </w:p>
        <w:p>
          <w:pPr>
            <w:pStyle w:val="24"/>
            <w:tabs>
              <w:tab w:val="right" w:leader="dot" w:pos="9129"/>
            </w:tabs>
            <w:spacing w:line="360" w:lineRule="auto"/>
            <w:rPr>
              <w:color w:val="auto"/>
              <w:highlight w:val="none"/>
            </w:rPr>
          </w:pPr>
          <w:r>
            <w:rPr>
              <w:color w:val="auto"/>
              <w:highlight w:val="none"/>
            </w:rPr>
            <w:fldChar w:fldCharType="begin"/>
          </w:r>
          <w:r>
            <w:rPr>
              <w:color w:val="auto"/>
              <w:highlight w:val="none"/>
            </w:rPr>
            <w:instrText xml:space="preserve"> HYPERLINK \l "_Toc4735" </w:instrText>
          </w:r>
          <w:r>
            <w:rPr>
              <w:color w:val="auto"/>
              <w:highlight w:val="none"/>
            </w:rPr>
            <w:fldChar w:fldCharType="separate"/>
          </w:r>
          <w:r>
            <w:rPr>
              <w:rFonts w:hint="eastAsia" w:asciiTheme="minorEastAsia" w:hAnsiTheme="minorEastAsia" w:eastAsiaTheme="minorEastAsia" w:cstheme="minorEastAsia"/>
              <w:color w:val="auto"/>
              <w:sz w:val="24"/>
              <w:szCs w:val="24"/>
              <w:highlight w:val="none"/>
            </w:rPr>
            <w:t>第九章  政府采购合同（草案）</w:t>
          </w:r>
          <w:r>
            <w:rPr>
              <w:rFonts w:hint="eastAsia" w:asciiTheme="minorEastAsia" w:hAnsiTheme="minorEastAsia" w:eastAsiaTheme="minorEastAsia" w:cstheme="minorEastAsia"/>
              <w:color w:val="auto"/>
              <w:sz w:val="24"/>
              <w:szCs w:val="24"/>
              <w:highlight w:val="none"/>
            </w:rPr>
            <w:tab/>
          </w: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color w:val="auto"/>
              <w:sz w:val="24"/>
              <w:szCs w:val="24"/>
              <w:highlight w:val="none"/>
            </w:rPr>
            <w:instrText xml:space="preserve"> PAGEREF _Toc4735 </w:instrText>
          </w:r>
          <w:r>
            <w:rPr>
              <w:rFonts w:hint="eastAsia" w:asciiTheme="minorEastAsia" w:hAnsiTheme="minorEastAsia" w:eastAsiaTheme="minorEastAsia" w:cstheme="minorEastAsia"/>
              <w:color w:val="auto"/>
              <w:sz w:val="24"/>
              <w:szCs w:val="24"/>
              <w:highlight w:val="none"/>
            </w:rPr>
            <w:fldChar w:fldCharType="separate"/>
          </w:r>
          <w:r>
            <w:rPr>
              <w:rFonts w:hint="eastAsia" w:asciiTheme="minorEastAsia" w:hAnsiTheme="minorEastAsia" w:eastAsiaTheme="minorEastAsia" w:cstheme="minorEastAsia"/>
              <w:color w:val="auto"/>
              <w:sz w:val="24"/>
              <w:szCs w:val="24"/>
              <w:highlight w:val="none"/>
            </w:rPr>
            <w:t>- 60 -</w:t>
          </w:r>
          <w:r>
            <w:rPr>
              <w:rFonts w:hint="eastAsia" w:asciiTheme="minorEastAsia" w:hAnsiTheme="minorEastAsia" w:eastAsiaTheme="minorEastAsia" w:cstheme="minorEastAsia"/>
              <w:color w:val="auto"/>
              <w:sz w:val="24"/>
              <w:szCs w:val="24"/>
              <w:highlight w:val="none"/>
            </w:rPr>
            <w:fldChar w:fldCharType="end"/>
          </w:r>
          <w:r>
            <w:rPr>
              <w:rFonts w:hint="eastAsia" w:asciiTheme="minorEastAsia" w:hAnsiTheme="minorEastAsia" w:eastAsiaTheme="minorEastAsia" w:cstheme="minorEastAsia"/>
              <w:color w:val="auto"/>
              <w:sz w:val="24"/>
              <w:szCs w:val="24"/>
              <w:highlight w:val="none"/>
            </w:rPr>
            <w:fldChar w:fldCharType="end"/>
          </w:r>
        </w:p>
        <w:p>
          <w:pPr>
            <w:rPr>
              <w:color w:val="auto"/>
              <w:highlight w:val="none"/>
            </w:rPr>
          </w:pPr>
          <w:r>
            <w:rPr>
              <w:color w:val="auto"/>
              <w:highlight w:val="none"/>
            </w:rPr>
            <w:fldChar w:fldCharType="end"/>
          </w:r>
        </w:p>
      </w:sdtContent>
    </w:sdt>
    <w:p>
      <w:pPr>
        <w:rPr>
          <w:color w:val="auto"/>
          <w:highlight w:val="none"/>
        </w:rPr>
      </w:pPr>
    </w:p>
    <w:p>
      <w:pPr>
        <w:rPr>
          <w:color w:val="auto"/>
          <w:highlight w:val="none"/>
        </w:rPr>
      </w:pPr>
    </w:p>
    <w:p>
      <w:pPr>
        <w:rPr>
          <w:color w:val="auto"/>
          <w:highlight w:val="none"/>
        </w:rPr>
      </w:pPr>
    </w:p>
    <w:p>
      <w:pPr>
        <w:pStyle w:val="3"/>
        <w:jc w:val="center"/>
        <w:rPr>
          <w:color w:val="auto"/>
          <w:highlight w:val="none"/>
        </w:rPr>
        <w:sectPr>
          <w:headerReference r:id="rId8" w:type="default"/>
          <w:footerReference r:id="rId9" w:type="default"/>
          <w:pgSz w:w="11850" w:h="16783"/>
          <w:pgMar w:top="1440" w:right="1304" w:bottom="1440" w:left="1417" w:header="850" w:footer="850" w:gutter="0"/>
          <w:pgNumType w:fmt="numberInDash" w:start="1"/>
          <w:cols w:space="0" w:num="1"/>
          <w:docGrid w:type="lines" w:linePitch="312" w:charSpace="0"/>
        </w:sectPr>
      </w:pPr>
      <w:bookmarkStart w:id="7" w:name="_Toc25399_WPSOffice_Level1"/>
    </w:p>
    <w:p>
      <w:pPr>
        <w:pStyle w:val="3"/>
        <w:spacing w:before="0" w:after="0" w:line="360" w:lineRule="auto"/>
        <w:jc w:val="center"/>
        <w:rPr>
          <w:color w:val="auto"/>
          <w:highlight w:val="none"/>
        </w:rPr>
      </w:pPr>
      <w:bookmarkStart w:id="8" w:name="_Toc12202"/>
      <w:bookmarkStart w:id="9" w:name="_Toc7773_WPSOffice_Level1"/>
      <w:r>
        <w:rPr>
          <w:rFonts w:hint="eastAsia"/>
          <w:color w:val="auto"/>
          <w:highlight w:val="none"/>
        </w:rPr>
        <w:t>第一章  磋商邀请</w:t>
      </w:r>
      <w:bookmarkEnd w:id="7"/>
      <w:bookmarkEnd w:id="8"/>
      <w:bookmarkEnd w:id="9"/>
    </w:p>
    <w:p>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u w:val="single"/>
        </w:rPr>
        <w:t>四川易通天和招标代理有限公司</w:t>
      </w:r>
      <w:r>
        <w:rPr>
          <w:rFonts w:hint="eastAsia" w:ascii="宋体" w:hAnsi="宋体"/>
          <w:color w:val="auto"/>
          <w:sz w:val="24"/>
          <w:highlight w:val="none"/>
        </w:rPr>
        <w:t>（采购代理机构）受</w:t>
      </w:r>
      <w:r>
        <w:rPr>
          <w:rFonts w:hint="eastAsia" w:ascii="宋体" w:hAnsi="宋体"/>
          <w:color w:val="auto"/>
          <w:sz w:val="24"/>
          <w:highlight w:val="none"/>
          <w:u w:val="single"/>
          <w:lang w:eastAsia="zh-CN"/>
        </w:rPr>
        <w:t>成都蒙彼利埃小学</w:t>
      </w:r>
      <w:r>
        <w:rPr>
          <w:rFonts w:hint="eastAsia" w:ascii="宋体" w:hAnsi="宋体"/>
          <w:color w:val="auto"/>
          <w:sz w:val="24"/>
          <w:highlight w:val="none"/>
        </w:rPr>
        <w:t>（采购人）委托，拟对</w:t>
      </w:r>
      <w:r>
        <w:rPr>
          <w:rFonts w:hint="eastAsia" w:ascii="宋体" w:hAnsi="宋体"/>
          <w:color w:val="auto"/>
          <w:sz w:val="24"/>
          <w:highlight w:val="none"/>
          <w:u w:val="single"/>
          <w:lang w:eastAsia="zh-CN"/>
        </w:rPr>
        <w:t>成都蒙彼利埃小学2022年视频拍摄制作服务采购项目</w:t>
      </w:r>
      <w:r>
        <w:rPr>
          <w:rFonts w:hint="eastAsia" w:ascii="宋体" w:hAnsi="宋体"/>
          <w:color w:val="auto"/>
          <w:sz w:val="24"/>
          <w:highlight w:val="none"/>
        </w:rPr>
        <w:t>采用竞争性磋商方式进行采购，特邀请符合本次采购要求的供应商参加本项目的竞争性磋商。</w:t>
      </w:r>
    </w:p>
    <w:p>
      <w:pPr>
        <w:spacing w:line="360" w:lineRule="auto"/>
        <w:ind w:firstLine="482" w:firstLineChars="200"/>
        <w:jc w:val="left"/>
        <w:rPr>
          <w:rFonts w:ascii="宋体" w:hAnsi="宋体"/>
          <w:b/>
          <w:color w:val="auto"/>
          <w:sz w:val="24"/>
          <w:highlight w:val="none"/>
        </w:rPr>
      </w:pPr>
      <w:r>
        <w:rPr>
          <w:rFonts w:hint="eastAsia" w:ascii="宋体" w:hAnsi="宋体"/>
          <w:b/>
          <w:color w:val="auto"/>
          <w:sz w:val="24"/>
          <w:highlight w:val="none"/>
        </w:rPr>
        <w:t>一、采购项目基本情况</w:t>
      </w:r>
    </w:p>
    <w:p>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1.项目编号：YTTH-2021-FC0260</w:t>
      </w:r>
    </w:p>
    <w:p>
      <w:pPr>
        <w:spacing w:line="360" w:lineRule="auto"/>
        <w:ind w:firstLine="480" w:firstLineChars="200"/>
        <w:jc w:val="left"/>
        <w:rPr>
          <w:rFonts w:hint="eastAsia" w:ascii="宋体" w:hAnsi="宋体" w:eastAsia="宋体"/>
          <w:color w:val="auto"/>
          <w:sz w:val="24"/>
          <w:highlight w:val="none"/>
          <w:lang w:eastAsia="zh-CN"/>
        </w:rPr>
      </w:pPr>
      <w:r>
        <w:rPr>
          <w:rFonts w:hint="eastAsia" w:ascii="宋体" w:hAnsi="宋体"/>
          <w:color w:val="auto"/>
          <w:sz w:val="24"/>
          <w:highlight w:val="none"/>
        </w:rPr>
        <w:t>2.采购项目名称：</w:t>
      </w:r>
      <w:r>
        <w:rPr>
          <w:rFonts w:hint="eastAsia" w:ascii="宋体" w:hAnsi="宋体"/>
          <w:color w:val="auto"/>
          <w:sz w:val="24"/>
          <w:highlight w:val="none"/>
          <w:lang w:eastAsia="zh-CN"/>
        </w:rPr>
        <w:t>成都蒙彼利埃小学2022年视频拍摄制作服务采购项目</w:t>
      </w:r>
    </w:p>
    <w:p>
      <w:pPr>
        <w:spacing w:line="360" w:lineRule="auto"/>
        <w:ind w:firstLine="480" w:firstLineChars="200"/>
        <w:jc w:val="left"/>
        <w:rPr>
          <w:rFonts w:hint="eastAsia" w:ascii="宋体" w:hAnsi="宋体" w:eastAsia="宋体"/>
          <w:color w:val="auto"/>
          <w:sz w:val="24"/>
          <w:highlight w:val="none"/>
          <w:lang w:eastAsia="zh-CN"/>
        </w:rPr>
      </w:pPr>
      <w:r>
        <w:rPr>
          <w:rFonts w:hint="eastAsia" w:ascii="宋体" w:hAnsi="宋体"/>
          <w:color w:val="auto"/>
          <w:sz w:val="24"/>
          <w:highlight w:val="none"/>
        </w:rPr>
        <w:t>3.采购人：</w:t>
      </w:r>
      <w:r>
        <w:rPr>
          <w:rFonts w:hint="eastAsia" w:ascii="宋体" w:hAnsi="宋体"/>
          <w:color w:val="auto"/>
          <w:sz w:val="24"/>
          <w:highlight w:val="none"/>
          <w:lang w:eastAsia="zh-CN"/>
        </w:rPr>
        <w:t>成都蒙彼利埃小学</w:t>
      </w:r>
    </w:p>
    <w:p>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4.采购代理机构：四川易通天和招标代理有限公司</w:t>
      </w:r>
    </w:p>
    <w:p>
      <w:pPr>
        <w:spacing w:line="360" w:lineRule="auto"/>
        <w:ind w:firstLine="482" w:firstLineChars="200"/>
        <w:jc w:val="left"/>
        <w:rPr>
          <w:rFonts w:ascii="宋体" w:hAnsi="宋体"/>
          <w:b/>
          <w:color w:val="auto"/>
          <w:sz w:val="24"/>
          <w:highlight w:val="none"/>
        </w:rPr>
      </w:pPr>
      <w:r>
        <w:rPr>
          <w:rFonts w:hint="eastAsia" w:ascii="宋体" w:hAnsi="宋体"/>
          <w:b/>
          <w:color w:val="auto"/>
          <w:sz w:val="24"/>
          <w:highlight w:val="none"/>
        </w:rPr>
        <w:t>二、资金情况</w:t>
      </w:r>
    </w:p>
    <w:p>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1.采购预算：</w:t>
      </w:r>
      <w:r>
        <w:rPr>
          <w:rFonts w:hint="eastAsia" w:ascii="宋体" w:hAnsi="宋体"/>
          <w:color w:val="auto"/>
          <w:sz w:val="24"/>
          <w:highlight w:val="none"/>
          <w:lang w:val="en-US" w:eastAsia="zh-CN"/>
        </w:rPr>
        <w:t>19.5万元（大写：壹拾玖万伍仟元整）</w:t>
      </w:r>
    </w:p>
    <w:p>
      <w:pPr>
        <w:spacing w:line="360" w:lineRule="auto"/>
        <w:ind w:firstLine="482" w:firstLineChars="200"/>
        <w:jc w:val="left"/>
        <w:rPr>
          <w:rFonts w:ascii="宋体" w:hAnsi="宋体"/>
          <w:b/>
          <w:color w:val="auto"/>
          <w:sz w:val="24"/>
          <w:highlight w:val="none"/>
        </w:rPr>
      </w:pPr>
      <w:r>
        <w:rPr>
          <w:rFonts w:hint="eastAsia" w:ascii="宋体" w:hAnsi="宋体"/>
          <w:b/>
          <w:color w:val="auto"/>
          <w:sz w:val="24"/>
          <w:highlight w:val="none"/>
        </w:rPr>
        <w:t>三、采购项目简介：</w:t>
      </w:r>
    </w:p>
    <w:p>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lang w:val="en-US" w:eastAsia="zh-CN"/>
        </w:rPr>
        <w:t>1.本项目为成都蒙彼利埃小学2022年视频拍摄制作服务采购项目，共一个包，其他详见本磋商文件第五章</w:t>
      </w:r>
      <w:r>
        <w:rPr>
          <w:rFonts w:hint="eastAsia" w:ascii="宋体" w:hAnsi="宋体"/>
          <w:color w:val="auto"/>
          <w:sz w:val="24"/>
          <w:highlight w:val="none"/>
        </w:rPr>
        <w:t>。</w:t>
      </w:r>
    </w:p>
    <w:p>
      <w:pPr>
        <w:spacing w:line="360" w:lineRule="auto"/>
        <w:ind w:firstLine="482" w:firstLineChars="200"/>
        <w:jc w:val="left"/>
        <w:rPr>
          <w:rFonts w:ascii="宋体" w:hAnsi="宋体"/>
          <w:b/>
          <w:color w:val="auto"/>
          <w:sz w:val="24"/>
          <w:highlight w:val="none"/>
        </w:rPr>
      </w:pPr>
      <w:r>
        <w:rPr>
          <w:rFonts w:hint="eastAsia" w:ascii="宋体" w:hAnsi="宋体"/>
          <w:b/>
          <w:color w:val="auto"/>
          <w:sz w:val="24"/>
          <w:highlight w:val="none"/>
        </w:rPr>
        <w:t>四、供应商邀请方式</w:t>
      </w:r>
    </w:p>
    <w:p>
      <w:pPr>
        <w:wordWrap w:val="0"/>
        <w:spacing w:line="360" w:lineRule="auto"/>
        <w:ind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公告方式：本次竞争性磋商邀请在</w:t>
      </w:r>
      <w:r>
        <w:rPr>
          <w:rFonts w:hint="eastAsia" w:asciiTheme="minorEastAsia" w:hAnsiTheme="minorEastAsia" w:eastAsiaTheme="minorEastAsia" w:cstheme="minorEastAsia"/>
          <w:color w:val="auto"/>
          <w:sz w:val="24"/>
          <w:highlight w:val="none"/>
          <w:lang w:eastAsia="zh-CN"/>
        </w:rPr>
        <w:t>成都蒙彼利埃小学门户网站</w:t>
      </w:r>
      <w:r>
        <w:rPr>
          <w:rFonts w:hint="eastAsia" w:asciiTheme="minorEastAsia" w:hAnsiTheme="minorEastAsia" w:eastAsiaTheme="minorEastAsia" w:cstheme="minorEastAsia"/>
          <w:sz w:val="24"/>
          <w:highlight w:val="none"/>
        </w:rPr>
        <w:t>（</w:t>
      </w:r>
      <w:r>
        <w:rPr>
          <w:rFonts w:hint="eastAsia" w:asciiTheme="minorEastAsia" w:hAnsiTheme="minorEastAsia" w:eastAsiaTheme="minorEastAsia" w:cstheme="minorEastAsia"/>
          <w:sz w:val="24"/>
          <w:highlight w:val="none"/>
          <w:lang w:eastAsia="zh-CN"/>
        </w:rPr>
        <w:t>https://www.cdmbla.com/webs/mbla/</w:t>
      </w:r>
      <w:r>
        <w:rPr>
          <w:rFonts w:hint="eastAsia" w:asciiTheme="minorEastAsia" w:hAnsiTheme="minorEastAsia" w:eastAsiaTheme="minorEastAsia" w:cstheme="minorEastAsia"/>
          <w:sz w:val="24"/>
          <w:highlight w:val="none"/>
        </w:rPr>
        <w:t>）</w:t>
      </w:r>
      <w:r>
        <w:rPr>
          <w:rFonts w:hint="eastAsia" w:asciiTheme="minorEastAsia" w:hAnsiTheme="minorEastAsia" w:eastAsiaTheme="minorEastAsia" w:cstheme="minorEastAsia"/>
          <w:color w:val="auto"/>
          <w:sz w:val="24"/>
          <w:highlight w:val="none"/>
        </w:rPr>
        <w:t>上以公告形式发布。</w:t>
      </w:r>
    </w:p>
    <w:p>
      <w:pPr>
        <w:spacing w:line="360" w:lineRule="auto"/>
        <w:ind w:firstLine="482" w:firstLineChars="200"/>
        <w:jc w:val="left"/>
        <w:rPr>
          <w:rFonts w:ascii="宋体" w:hAnsi="宋体"/>
          <w:b/>
          <w:color w:val="auto"/>
          <w:sz w:val="24"/>
          <w:highlight w:val="none"/>
        </w:rPr>
      </w:pPr>
      <w:r>
        <w:rPr>
          <w:rFonts w:hint="eastAsia" w:ascii="宋体" w:hAnsi="宋体"/>
          <w:b/>
          <w:color w:val="auto"/>
          <w:sz w:val="24"/>
          <w:highlight w:val="none"/>
        </w:rPr>
        <w:t>五、供应商参加本次政府采购活动应具备下列条件</w:t>
      </w:r>
    </w:p>
    <w:p>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1.具有独立承担民事责任的能力；</w:t>
      </w:r>
    </w:p>
    <w:p>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2.具有良好的商业信誉和健全的财务会计制度；</w:t>
      </w:r>
    </w:p>
    <w:p>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3.具有履行合同所必需的设备和专业技术能力；</w:t>
      </w:r>
    </w:p>
    <w:p>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4.有依法缴纳税收和社会保障资金的良好记录；</w:t>
      </w:r>
    </w:p>
    <w:p>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5.参加政府采购活动前三年内，在经营活动中没有重大违法记录；</w:t>
      </w:r>
    </w:p>
    <w:p>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6.法律、行政法规规定的其他条件。</w:t>
      </w:r>
    </w:p>
    <w:p>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7.根据采购项目提出的特殊条件：</w:t>
      </w:r>
    </w:p>
    <w:p>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7.1供应商及其现任法定代表人（非法人机构则为主要负责人）不得具有行贿犯罪记录；</w:t>
      </w:r>
    </w:p>
    <w:p>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lang w:val="en-US" w:eastAsia="zh-CN"/>
        </w:rPr>
        <w:t>7.2</w:t>
      </w:r>
      <w:r>
        <w:rPr>
          <w:rFonts w:hint="eastAsia" w:ascii="宋体" w:hAnsi="宋体"/>
          <w:color w:val="auto"/>
          <w:sz w:val="24"/>
          <w:highlight w:val="none"/>
        </w:rPr>
        <w:t>本次磋商不接受联合体响应。</w:t>
      </w:r>
    </w:p>
    <w:p>
      <w:pPr>
        <w:spacing w:line="360" w:lineRule="auto"/>
        <w:ind w:firstLine="482" w:firstLineChars="200"/>
        <w:jc w:val="left"/>
        <w:rPr>
          <w:rFonts w:ascii="宋体" w:hAnsi="宋体"/>
          <w:b/>
          <w:color w:val="auto"/>
          <w:sz w:val="24"/>
          <w:highlight w:val="none"/>
        </w:rPr>
      </w:pPr>
      <w:r>
        <w:rPr>
          <w:rFonts w:hint="eastAsia" w:ascii="宋体" w:hAnsi="宋体"/>
          <w:b/>
          <w:color w:val="auto"/>
          <w:sz w:val="24"/>
          <w:highlight w:val="none"/>
        </w:rPr>
        <w:t>六、禁止参加本次采购活动的供应商</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rPr>
          <w:rFonts w:ascii="宋体" w:hAnsi="宋体"/>
          <w:color w:val="auto"/>
          <w:sz w:val="24"/>
          <w:highlight w:val="none"/>
        </w:rPr>
      </w:pPr>
      <w:r>
        <w:rPr>
          <w:rFonts w:hint="eastAsia" w:ascii="宋体" w:hAnsi="宋体"/>
          <w:color w:val="auto"/>
          <w:sz w:val="24"/>
          <w:highlight w:val="none"/>
        </w:rPr>
        <w:t>1.根据《关于在政府采购活动中查询及使用信用记录有关问题的通知》（财库〔2016〕125号）的要求，采购代理机构将通过“信用中国”网站（www.creditchina.gov.cn）、“中国政府采购网”网站（www.ccgp.gov.cn）等渠道查询供应商在采购公告发布之日前的信用记录并保存信用记录结果网页截图，拒绝列入失信被执行人名单、重大税收违法案件当事人名单、政府采购严重违法失信行为记录名单中的供应商报名参加本项目的采购活动（以联合体形式参加本项目采购活动，联合体成员存在不良信用记录的，视同联合体存在不良信用记录）。</w:t>
      </w:r>
    </w:p>
    <w:p>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2.为采购项目提供整体设计、规范编制或者项目管理、监理、检测等服务的供应商，不得参加本采购项目。供应商为采购人、采购代理机构在确定采购需求、编制磋商文件过程中提供咨询论证，其提供的咨询论证意见成为磋商文件中规定的供应商资格条件、技术服务商务要求、评审因素和标准、政府采购合同等实质性内容条款的，视同为采购项目提供规范编制。</w:t>
      </w:r>
    </w:p>
    <w:p>
      <w:pPr>
        <w:spacing w:line="360" w:lineRule="auto"/>
        <w:ind w:firstLine="482" w:firstLineChars="200"/>
        <w:jc w:val="left"/>
        <w:rPr>
          <w:rFonts w:ascii="宋体" w:hAnsi="宋体"/>
          <w:b/>
          <w:color w:val="auto"/>
          <w:sz w:val="24"/>
          <w:highlight w:val="none"/>
        </w:rPr>
      </w:pPr>
      <w:r>
        <w:rPr>
          <w:rFonts w:hint="eastAsia" w:ascii="宋体" w:hAnsi="宋体"/>
          <w:b/>
          <w:color w:val="auto"/>
          <w:sz w:val="24"/>
          <w:highlight w:val="none"/>
        </w:rPr>
        <w:t>七、磋商文件获取方式、时间、地点：</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磋商文件自202</w:t>
      </w:r>
      <w:r>
        <w:rPr>
          <w:rFonts w:hint="eastAsia" w:ascii="宋体" w:hAnsi="宋体" w:cs="宋体"/>
          <w:sz w:val="24"/>
          <w:highlight w:val="none"/>
          <w:lang w:val="en-US" w:eastAsia="zh-CN"/>
        </w:rPr>
        <w:t>1</w:t>
      </w:r>
      <w:r>
        <w:rPr>
          <w:rFonts w:hint="eastAsia" w:ascii="宋体" w:hAnsi="宋体" w:cs="宋体"/>
          <w:sz w:val="24"/>
          <w:highlight w:val="none"/>
        </w:rPr>
        <w:t>年</w:t>
      </w:r>
      <w:r>
        <w:rPr>
          <w:rFonts w:hint="eastAsia" w:ascii="宋体" w:hAnsi="宋体" w:cs="宋体"/>
          <w:sz w:val="24"/>
          <w:highlight w:val="none"/>
          <w:lang w:val="en-US" w:eastAsia="zh-CN"/>
        </w:rPr>
        <w:t>12</w:t>
      </w:r>
      <w:r>
        <w:rPr>
          <w:rFonts w:hint="eastAsia" w:ascii="宋体" w:hAnsi="宋体" w:cs="宋体"/>
          <w:sz w:val="24"/>
          <w:highlight w:val="none"/>
        </w:rPr>
        <w:t>月</w:t>
      </w:r>
      <w:r>
        <w:rPr>
          <w:rFonts w:hint="eastAsia" w:ascii="宋体" w:hAnsi="宋体" w:cs="宋体"/>
          <w:sz w:val="24"/>
          <w:highlight w:val="none"/>
          <w:lang w:val="en-US" w:eastAsia="zh-CN"/>
        </w:rPr>
        <w:t>10</w:t>
      </w:r>
      <w:r>
        <w:rPr>
          <w:rFonts w:hint="eastAsia" w:ascii="宋体" w:hAnsi="宋体" w:cs="宋体"/>
          <w:sz w:val="24"/>
          <w:highlight w:val="none"/>
        </w:rPr>
        <w:t>日至202</w:t>
      </w:r>
      <w:r>
        <w:rPr>
          <w:rFonts w:hint="eastAsia" w:ascii="宋体" w:hAnsi="宋体" w:cs="宋体"/>
          <w:sz w:val="24"/>
          <w:highlight w:val="none"/>
          <w:lang w:val="en-US" w:eastAsia="zh-CN"/>
        </w:rPr>
        <w:t>1</w:t>
      </w:r>
      <w:r>
        <w:rPr>
          <w:rFonts w:hint="eastAsia" w:ascii="宋体" w:hAnsi="宋体" w:cs="宋体"/>
          <w:sz w:val="24"/>
          <w:highlight w:val="none"/>
        </w:rPr>
        <w:t>年</w:t>
      </w:r>
      <w:r>
        <w:rPr>
          <w:rFonts w:hint="eastAsia" w:ascii="宋体" w:hAnsi="宋体" w:cs="宋体"/>
          <w:sz w:val="24"/>
          <w:highlight w:val="none"/>
          <w:lang w:val="en-US" w:eastAsia="zh-CN"/>
        </w:rPr>
        <w:t>12</w:t>
      </w:r>
      <w:r>
        <w:rPr>
          <w:rFonts w:hint="eastAsia" w:ascii="宋体" w:hAnsi="宋体" w:cs="宋体"/>
          <w:sz w:val="24"/>
          <w:highlight w:val="none"/>
        </w:rPr>
        <w:t>月</w:t>
      </w:r>
      <w:r>
        <w:rPr>
          <w:rFonts w:hint="eastAsia" w:ascii="宋体" w:hAnsi="宋体" w:cs="宋体"/>
          <w:sz w:val="24"/>
          <w:highlight w:val="none"/>
          <w:lang w:val="en-US" w:eastAsia="zh-CN"/>
        </w:rPr>
        <w:t>16</w:t>
      </w:r>
      <w:r>
        <w:rPr>
          <w:rFonts w:hint="eastAsia" w:ascii="宋体" w:hAnsi="宋体" w:cs="宋体"/>
          <w:sz w:val="24"/>
          <w:highlight w:val="none"/>
        </w:rPr>
        <w:t>日上午09：30至11:30下午14:00至16:30(节假日除外)在成都市高新区天府大道北段1700号新世纪环球中心W6-2019获取。</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本项目磋商文件有偿获取，磋商文件售价：人民币</w:t>
      </w:r>
      <w:r>
        <w:rPr>
          <w:rFonts w:hint="eastAsia" w:ascii="宋体" w:hAnsi="宋体" w:cs="宋体"/>
          <w:sz w:val="24"/>
          <w:highlight w:val="none"/>
          <w:lang w:val="en-US" w:eastAsia="zh-CN"/>
        </w:rPr>
        <w:t>20</w:t>
      </w:r>
      <w:r>
        <w:rPr>
          <w:rFonts w:hint="eastAsia" w:ascii="宋体" w:hAnsi="宋体" w:cs="宋体"/>
          <w:sz w:val="24"/>
          <w:highlight w:val="none"/>
        </w:rPr>
        <w:t>0元/份（磋商文件售后不退,磋商资格不能转让）。</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获取磋商文件时，经办人员当场或网上提交以下资料：供应商为法人或者其他组织的，只需提供单位介绍信、经办人身份证明；供应商为自然人的，只需提供本人身份证明。</w:t>
      </w:r>
    </w:p>
    <w:p>
      <w:pPr>
        <w:spacing w:line="360" w:lineRule="auto"/>
        <w:ind w:firstLine="480" w:firstLineChars="200"/>
        <w:rPr>
          <w:rFonts w:ascii="宋体" w:hAnsi="宋体"/>
          <w:sz w:val="24"/>
          <w:highlight w:val="none"/>
        </w:rPr>
      </w:pPr>
      <w:r>
        <w:rPr>
          <w:rFonts w:hint="eastAsia" w:ascii="宋体" w:hAnsi="宋体" w:cs="宋体"/>
          <w:sz w:val="24"/>
          <w:highlight w:val="none"/>
        </w:rPr>
        <w:t>未购买竞争性磋商文件并登记备案的供应商不得参加本项目磋商。</w:t>
      </w:r>
    </w:p>
    <w:p>
      <w:pPr>
        <w:spacing w:line="360" w:lineRule="auto"/>
        <w:ind w:firstLine="482" w:firstLineChars="200"/>
        <w:jc w:val="left"/>
        <w:rPr>
          <w:rFonts w:ascii="宋体" w:hAnsi="宋体"/>
          <w:color w:val="auto"/>
          <w:sz w:val="24"/>
          <w:highlight w:val="none"/>
        </w:rPr>
      </w:pPr>
      <w:r>
        <w:rPr>
          <w:rFonts w:hint="eastAsia" w:ascii="宋体" w:hAnsi="宋体"/>
          <w:b/>
          <w:color w:val="auto"/>
          <w:sz w:val="24"/>
          <w:highlight w:val="none"/>
        </w:rPr>
        <w:t>八、递交响应文件截止时间</w:t>
      </w:r>
      <w:r>
        <w:rPr>
          <w:rFonts w:hint="eastAsia" w:ascii="宋体" w:hAnsi="宋体"/>
          <w:color w:val="auto"/>
          <w:sz w:val="24"/>
          <w:highlight w:val="none"/>
        </w:rPr>
        <w:t>：202</w:t>
      </w:r>
      <w:r>
        <w:rPr>
          <w:rFonts w:hint="eastAsia" w:ascii="宋体" w:hAnsi="宋体"/>
          <w:color w:val="auto"/>
          <w:sz w:val="24"/>
          <w:highlight w:val="none"/>
          <w:lang w:val="en-US" w:eastAsia="zh-CN"/>
        </w:rPr>
        <w:t>1</w:t>
      </w:r>
      <w:r>
        <w:rPr>
          <w:rFonts w:hint="eastAsia" w:ascii="宋体" w:hAnsi="宋体"/>
          <w:color w:val="auto"/>
          <w:sz w:val="24"/>
          <w:highlight w:val="none"/>
        </w:rPr>
        <w:t>年</w:t>
      </w:r>
      <w:r>
        <w:rPr>
          <w:rFonts w:hint="eastAsia" w:ascii="宋体" w:hAnsi="宋体"/>
          <w:color w:val="auto"/>
          <w:sz w:val="24"/>
          <w:highlight w:val="none"/>
          <w:lang w:val="en-US" w:eastAsia="zh-CN"/>
        </w:rPr>
        <w:t>12</w:t>
      </w:r>
      <w:r>
        <w:rPr>
          <w:rFonts w:hint="eastAsia" w:ascii="宋体" w:hAnsi="宋体"/>
          <w:color w:val="auto"/>
          <w:sz w:val="24"/>
          <w:highlight w:val="none"/>
        </w:rPr>
        <w:t>月</w:t>
      </w:r>
      <w:r>
        <w:rPr>
          <w:rFonts w:hint="eastAsia" w:ascii="宋体" w:hAnsi="宋体"/>
          <w:color w:val="auto"/>
          <w:sz w:val="24"/>
          <w:highlight w:val="none"/>
          <w:lang w:val="en-US" w:eastAsia="zh-CN"/>
        </w:rPr>
        <w:t>20</w:t>
      </w:r>
      <w:r>
        <w:rPr>
          <w:rFonts w:hint="eastAsia" w:ascii="宋体" w:hAnsi="宋体"/>
          <w:color w:val="auto"/>
          <w:sz w:val="24"/>
          <w:highlight w:val="none"/>
        </w:rPr>
        <w:t>日1</w:t>
      </w:r>
      <w:r>
        <w:rPr>
          <w:rFonts w:hint="eastAsia" w:ascii="宋体" w:hAnsi="宋体"/>
          <w:color w:val="auto"/>
          <w:sz w:val="24"/>
          <w:highlight w:val="none"/>
          <w:lang w:val="en-US" w:eastAsia="zh-CN"/>
        </w:rPr>
        <w:t>0</w:t>
      </w:r>
      <w:r>
        <w:rPr>
          <w:rFonts w:hint="eastAsia" w:ascii="宋体" w:hAnsi="宋体"/>
          <w:color w:val="auto"/>
          <w:sz w:val="24"/>
          <w:highlight w:val="none"/>
        </w:rPr>
        <w:t>:</w:t>
      </w:r>
      <w:r>
        <w:rPr>
          <w:rFonts w:hint="eastAsia" w:ascii="宋体" w:hAnsi="宋体"/>
          <w:color w:val="auto"/>
          <w:sz w:val="24"/>
          <w:highlight w:val="none"/>
          <w:lang w:val="en-US" w:eastAsia="zh-CN"/>
        </w:rPr>
        <w:t>0</w:t>
      </w:r>
      <w:r>
        <w:rPr>
          <w:rFonts w:hint="eastAsia" w:ascii="宋体" w:hAnsi="宋体"/>
          <w:color w:val="auto"/>
          <w:sz w:val="24"/>
          <w:highlight w:val="none"/>
        </w:rPr>
        <w:t>0(北京时间)。</w:t>
      </w:r>
    </w:p>
    <w:p>
      <w:pPr>
        <w:spacing w:line="360" w:lineRule="auto"/>
        <w:ind w:firstLine="482" w:firstLineChars="200"/>
        <w:jc w:val="left"/>
        <w:rPr>
          <w:rFonts w:ascii="宋体" w:hAnsi="宋体"/>
          <w:b/>
          <w:color w:val="auto"/>
          <w:sz w:val="24"/>
          <w:highlight w:val="none"/>
        </w:rPr>
      </w:pPr>
      <w:r>
        <w:rPr>
          <w:rFonts w:hint="eastAsia" w:ascii="宋体" w:hAnsi="宋体"/>
          <w:b/>
          <w:color w:val="auto"/>
          <w:sz w:val="24"/>
          <w:highlight w:val="none"/>
        </w:rPr>
        <w:t>九、递交响应文件地点：</w:t>
      </w:r>
      <w:r>
        <w:rPr>
          <w:rFonts w:hint="eastAsia" w:ascii="宋体" w:hAnsi="宋体"/>
          <w:bCs/>
          <w:color w:val="auto"/>
          <w:sz w:val="24"/>
          <w:highlight w:val="none"/>
        </w:rPr>
        <w:t>响应文件必须在递交响应文件截止时间前送达磋商地点。逾期送达或未按磋商文件要求进行密封标注的响应文件，采购人/采购代理机构恕不接收。本次采购不接收邮寄的响应文件。</w:t>
      </w:r>
    </w:p>
    <w:p>
      <w:pPr>
        <w:spacing w:line="360" w:lineRule="auto"/>
        <w:ind w:firstLine="482" w:firstLineChars="200"/>
        <w:jc w:val="left"/>
        <w:rPr>
          <w:rFonts w:ascii="宋体" w:hAnsi="宋体"/>
          <w:color w:val="auto"/>
          <w:sz w:val="24"/>
          <w:highlight w:val="none"/>
        </w:rPr>
      </w:pPr>
      <w:r>
        <w:rPr>
          <w:rFonts w:hint="eastAsia" w:ascii="宋体" w:hAnsi="宋体"/>
          <w:b/>
          <w:color w:val="auto"/>
          <w:sz w:val="24"/>
          <w:highlight w:val="none"/>
        </w:rPr>
        <w:t>十、响应文件开启时间：</w:t>
      </w:r>
      <w:r>
        <w:rPr>
          <w:rFonts w:hint="eastAsia" w:ascii="宋体" w:hAnsi="宋体"/>
          <w:color w:val="auto"/>
          <w:sz w:val="24"/>
          <w:highlight w:val="none"/>
        </w:rPr>
        <w:t>202</w:t>
      </w:r>
      <w:r>
        <w:rPr>
          <w:rFonts w:hint="eastAsia" w:ascii="宋体" w:hAnsi="宋体"/>
          <w:color w:val="auto"/>
          <w:sz w:val="24"/>
          <w:highlight w:val="none"/>
          <w:lang w:val="en-US" w:eastAsia="zh-CN"/>
        </w:rPr>
        <w:t>1</w:t>
      </w:r>
      <w:r>
        <w:rPr>
          <w:rFonts w:hint="eastAsia" w:ascii="宋体" w:hAnsi="宋体"/>
          <w:color w:val="auto"/>
          <w:sz w:val="24"/>
          <w:highlight w:val="none"/>
        </w:rPr>
        <w:t>年</w:t>
      </w:r>
      <w:r>
        <w:rPr>
          <w:rFonts w:hint="eastAsia" w:ascii="宋体" w:hAnsi="宋体"/>
          <w:color w:val="auto"/>
          <w:sz w:val="24"/>
          <w:highlight w:val="none"/>
          <w:lang w:val="en-US" w:eastAsia="zh-CN"/>
        </w:rPr>
        <w:t>12</w:t>
      </w:r>
      <w:r>
        <w:rPr>
          <w:rFonts w:hint="eastAsia" w:ascii="宋体" w:hAnsi="宋体"/>
          <w:color w:val="auto"/>
          <w:sz w:val="24"/>
          <w:highlight w:val="none"/>
        </w:rPr>
        <w:t>月</w:t>
      </w:r>
      <w:r>
        <w:rPr>
          <w:rFonts w:hint="eastAsia" w:ascii="宋体" w:hAnsi="宋体"/>
          <w:color w:val="auto"/>
          <w:sz w:val="24"/>
          <w:highlight w:val="none"/>
          <w:lang w:val="en-US" w:eastAsia="zh-CN"/>
        </w:rPr>
        <w:t>20</w:t>
      </w:r>
      <w:r>
        <w:rPr>
          <w:rFonts w:hint="eastAsia" w:ascii="宋体" w:hAnsi="宋体"/>
          <w:color w:val="auto"/>
          <w:sz w:val="24"/>
          <w:highlight w:val="none"/>
        </w:rPr>
        <w:t>日1</w:t>
      </w:r>
      <w:r>
        <w:rPr>
          <w:rFonts w:hint="eastAsia" w:ascii="宋体" w:hAnsi="宋体"/>
          <w:color w:val="auto"/>
          <w:sz w:val="24"/>
          <w:highlight w:val="none"/>
          <w:lang w:val="en-US" w:eastAsia="zh-CN"/>
        </w:rPr>
        <w:t>0</w:t>
      </w:r>
      <w:r>
        <w:rPr>
          <w:rFonts w:hint="eastAsia" w:ascii="宋体" w:hAnsi="宋体"/>
          <w:color w:val="auto"/>
          <w:sz w:val="24"/>
          <w:highlight w:val="none"/>
        </w:rPr>
        <w:t>:</w:t>
      </w:r>
      <w:r>
        <w:rPr>
          <w:rFonts w:hint="eastAsia" w:ascii="宋体" w:hAnsi="宋体"/>
          <w:color w:val="auto"/>
          <w:sz w:val="24"/>
          <w:highlight w:val="none"/>
          <w:lang w:val="en-US" w:eastAsia="zh-CN"/>
        </w:rPr>
        <w:t>0</w:t>
      </w:r>
      <w:r>
        <w:rPr>
          <w:rFonts w:hint="eastAsia" w:ascii="宋体" w:hAnsi="宋体"/>
          <w:color w:val="auto"/>
          <w:sz w:val="24"/>
          <w:highlight w:val="none"/>
        </w:rPr>
        <w:t>0</w:t>
      </w:r>
      <w:r>
        <w:rPr>
          <w:rFonts w:hint="eastAsia" w:ascii="宋体" w:hAnsi="宋体"/>
          <w:bCs/>
          <w:color w:val="auto"/>
          <w:sz w:val="24"/>
          <w:highlight w:val="none"/>
        </w:rPr>
        <w:t>（北京时间）在磋商地点开启。</w:t>
      </w:r>
    </w:p>
    <w:p>
      <w:pPr>
        <w:spacing w:line="360" w:lineRule="auto"/>
        <w:ind w:firstLine="482" w:firstLineChars="200"/>
        <w:jc w:val="left"/>
        <w:rPr>
          <w:rFonts w:ascii="宋体" w:hAnsi="宋体"/>
          <w:color w:val="auto"/>
          <w:sz w:val="24"/>
          <w:highlight w:val="none"/>
        </w:rPr>
      </w:pPr>
      <w:r>
        <w:rPr>
          <w:rFonts w:hint="eastAsia" w:ascii="宋体" w:hAnsi="宋体"/>
          <w:b/>
          <w:color w:val="auto"/>
          <w:sz w:val="24"/>
          <w:highlight w:val="none"/>
        </w:rPr>
        <w:t>十一、磋商</w:t>
      </w:r>
      <w:r>
        <w:rPr>
          <w:rFonts w:ascii="宋体" w:hAnsi="宋体"/>
          <w:b/>
          <w:color w:val="auto"/>
          <w:sz w:val="24"/>
          <w:highlight w:val="none"/>
        </w:rPr>
        <w:t>地点：</w:t>
      </w:r>
      <w:r>
        <w:rPr>
          <w:rFonts w:hint="eastAsia" w:ascii="宋体" w:hAnsi="宋体"/>
          <w:color w:val="auto"/>
          <w:sz w:val="24"/>
          <w:highlight w:val="none"/>
        </w:rPr>
        <w:t>四川易通天和招标代理有限公司（地址：</w:t>
      </w:r>
      <w:r>
        <w:rPr>
          <w:rFonts w:hint="eastAsia" w:ascii="宋体" w:hAnsi="宋体"/>
          <w:b/>
          <w:bCs/>
          <w:color w:val="auto"/>
          <w:sz w:val="24"/>
          <w:highlight w:val="none"/>
          <w:lang w:eastAsia="zh-CN"/>
        </w:rPr>
        <w:t>成都市高新区天府大道北段1700号新世纪环球中心W6-2019</w:t>
      </w:r>
      <w:r>
        <w:rPr>
          <w:rFonts w:hint="eastAsia" w:ascii="宋体" w:hAnsi="宋体"/>
          <w:color w:val="auto"/>
          <w:sz w:val="24"/>
          <w:highlight w:val="none"/>
        </w:rPr>
        <w:t>）。</w:t>
      </w:r>
    </w:p>
    <w:p>
      <w:pPr>
        <w:spacing w:line="360" w:lineRule="auto"/>
        <w:ind w:firstLine="482" w:firstLineChars="200"/>
        <w:jc w:val="left"/>
        <w:rPr>
          <w:rFonts w:ascii="宋体" w:hAnsi="宋体"/>
          <w:b/>
          <w:color w:val="auto"/>
          <w:sz w:val="24"/>
          <w:highlight w:val="none"/>
        </w:rPr>
      </w:pPr>
      <w:r>
        <w:rPr>
          <w:rFonts w:hint="eastAsia" w:ascii="宋体" w:hAnsi="宋体"/>
          <w:b/>
          <w:color w:val="auto"/>
          <w:sz w:val="24"/>
          <w:highlight w:val="none"/>
        </w:rPr>
        <w:t>十二、联系方式</w:t>
      </w:r>
    </w:p>
    <w:p>
      <w:pPr>
        <w:spacing w:line="360" w:lineRule="auto"/>
        <w:ind w:firstLine="482" w:firstLineChars="200"/>
        <w:jc w:val="left"/>
        <w:rPr>
          <w:rFonts w:hint="eastAsia" w:ascii="宋体" w:hAnsi="宋体" w:eastAsia="宋体"/>
          <w:b/>
          <w:bCs/>
          <w:color w:val="auto"/>
          <w:sz w:val="24"/>
          <w:highlight w:val="none"/>
          <w:lang w:eastAsia="zh-CN"/>
        </w:rPr>
      </w:pPr>
      <w:r>
        <w:rPr>
          <w:rFonts w:hint="eastAsia" w:ascii="宋体" w:hAnsi="宋体"/>
          <w:b/>
          <w:bCs/>
          <w:color w:val="auto"/>
          <w:sz w:val="24"/>
          <w:highlight w:val="none"/>
        </w:rPr>
        <w:t>采 购 人：</w:t>
      </w:r>
      <w:r>
        <w:rPr>
          <w:rFonts w:hint="eastAsia" w:ascii="宋体" w:hAnsi="宋体"/>
          <w:b/>
          <w:bCs/>
          <w:color w:val="auto"/>
          <w:sz w:val="24"/>
          <w:highlight w:val="none"/>
          <w:lang w:eastAsia="zh-CN"/>
        </w:rPr>
        <w:t>成都蒙彼利埃小学</w:t>
      </w:r>
    </w:p>
    <w:p>
      <w:pPr>
        <w:spacing w:line="360" w:lineRule="auto"/>
        <w:ind w:firstLine="480" w:firstLineChars="200"/>
        <w:jc w:val="left"/>
        <w:rPr>
          <w:rFonts w:ascii="宋体" w:hAnsi="宋体"/>
          <w:sz w:val="24"/>
          <w:highlight w:val="none"/>
        </w:rPr>
      </w:pPr>
      <w:r>
        <w:rPr>
          <w:rFonts w:hint="eastAsia" w:ascii="宋体" w:hAnsi="宋体"/>
          <w:sz w:val="24"/>
          <w:highlight w:val="none"/>
        </w:rPr>
        <w:t>地    址：四川省成都市高新区盛兴街196号</w:t>
      </w:r>
    </w:p>
    <w:p>
      <w:pPr>
        <w:spacing w:line="360" w:lineRule="auto"/>
        <w:ind w:firstLine="480" w:firstLineChars="200"/>
        <w:jc w:val="left"/>
        <w:rPr>
          <w:rFonts w:ascii="宋体" w:hAnsi="宋体"/>
          <w:sz w:val="24"/>
          <w:highlight w:val="none"/>
        </w:rPr>
      </w:pPr>
      <w:r>
        <w:rPr>
          <w:rFonts w:hint="eastAsia" w:ascii="宋体" w:hAnsi="宋体"/>
          <w:sz w:val="24"/>
          <w:highlight w:val="none"/>
        </w:rPr>
        <w:t>联 系 人：</w:t>
      </w:r>
      <w:r>
        <w:rPr>
          <w:rFonts w:hint="eastAsia" w:ascii="宋体" w:hAnsi="宋体"/>
          <w:sz w:val="24"/>
          <w:highlight w:val="none"/>
          <w:lang w:val="en-US" w:eastAsia="zh-CN"/>
        </w:rPr>
        <w:t>黄</w:t>
      </w:r>
      <w:r>
        <w:rPr>
          <w:rFonts w:hint="eastAsia" w:ascii="宋体" w:hAnsi="宋体"/>
          <w:sz w:val="24"/>
          <w:highlight w:val="none"/>
        </w:rPr>
        <w:t>老师</w:t>
      </w:r>
    </w:p>
    <w:p>
      <w:pPr>
        <w:spacing w:line="360" w:lineRule="auto"/>
        <w:ind w:firstLine="480" w:firstLineChars="200"/>
        <w:jc w:val="left"/>
        <w:rPr>
          <w:rFonts w:ascii="宋体" w:hAnsi="宋体"/>
          <w:sz w:val="24"/>
          <w:highlight w:val="none"/>
        </w:rPr>
      </w:pPr>
      <w:r>
        <w:rPr>
          <w:rFonts w:hint="eastAsia" w:ascii="宋体" w:hAnsi="宋体"/>
          <w:sz w:val="24"/>
          <w:highlight w:val="none"/>
        </w:rPr>
        <w:t>联系电话：18180448581</w:t>
      </w:r>
    </w:p>
    <w:p>
      <w:pPr>
        <w:spacing w:line="360" w:lineRule="auto"/>
        <w:ind w:firstLine="482" w:firstLineChars="200"/>
        <w:jc w:val="left"/>
        <w:rPr>
          <w:rFonts w:ascii="宋体" w:hAnsi="宋体"/>
          <w:b/>
          <w:bCs/>
          <w:color w:val="auto"/>
          <w:sz w:val="24"/>
          <w:highlight w:val="none"/>
        </w:rPr>
      </w:pPr>
      <w:r>
        <w:rPr>
          <w:rFonts w:hint="eastAsia" w:ascii="宋体" w:hAnsi="宋体"/>
          <w:b/>
          <w:bCs/>
          <w:color w:val="auto"/>
          <w:sz w:val="24"/>
          <w:highlight w:val="none"/>
        </w:rPr>
        <w:t>采购代理机构：四川易通天和招标代理有限公司</w:t>
      </w:r>
    </w:p>
    <w:p>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开户银行：中国民生银行股份有限公司成都铁像寺支行</w:t>
      </w:r>
    </w:p>
    <w:p>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账    号：150532479</w:t>
      </w:r>
    </w:p>
    <w:p>
      <w:pPr>
        <w:spacing w:line="360" w:lineRule="auto"/>
        <w:ind w:firstLine="480" w:firstLineChars="200"/>
        <w:jc w:val="left"/>
        <w:rPr>
          <w:rFonts w:hint="eastAsia" w:ascii="宋体" w:hAnsi="宋体" w:eastAsia="宋体"/>
          <w:color w:val="auto"/>
          <w:sz w:val="24"/>
          <w:highlight w:val="none"/>
          <w:lang w:eastAsia="zh-CN"/>
        </w:rPr>
      </w:pPr>
      <w:r>
        <w:rPr>
          <w:rFonts w:hint="eastAsia" w:ascii="宋体" w:hAnsi="宋体"/>
          <w:color w:val="auto"/>
          <w:sz w:val="24"/>
          <w:highlight w:val="none"/>
        </w:rPr>
        <w:t>通讯地址：</w:t>
      </w:r>
      <w:r>
        <w:rPr>
          <w:rFonts w:hint="eastAsia" w:ascii="宋体" w:hAnsi="宋体"/>
          <w:color w:val="auto"/>
          <w:sz w:val="24"/>
          <w:highlight w:val="none"/>
          <w:lang w:eastAsia="zh-CN"/>
        </w:rPr>
        <w:t>成都市高新区天府大道北段1700号新世纪环球中心W6-2019</w:t>
      </w:r>
    </w:p>
    <w:p>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邮    编：610041</w:t>
      </w:r>
    </w:p>
    <w:p>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联 系 人：胡先生</w:t>
      </w:r>
    </w:p>
    <w:p>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联系电话：028-85320556</w:t>
      </w:r>
    </w:p>
    <w:p>
      <w:pPr>
        <w:spacing w:line="360" w:lineRule="auto"/>
        <w:jc w:val="right"/>
        <w:rPr>
          <w:rFonts w:hint="eastAsia" w:ascii="宋体" w:hAnsi="宋体"/>
          <w:color w:val="auto"/>
          <w:sz w:val="24"/>
          <w:highlight w:val="none"/>
        </w:rPr>
      </w:pPr>
    </w:p>
    <w:p>
      <w:pPr>
        <w:spacing w:line="360" w:lineRule="auto"/>
        <w:jc w:val="right"/>
        <w:rPr>
          <w:color w:val="auto"/>
          <w:highlight w:val="none"/>
        </w:rPr>
      </w:pPr>
      <w:bookmarkStart w:id="10" w:name="_Toc1282"/>
      <w:bookmarkStart w:id="11" w:name="_Toc213397009"/>
      <w:bookmarkStart w:id="12" w:name="_Toc213396945"/>
      <w:bookmarkStart w:id="13" w:name="_Toc8230_WPSOffice_Level1"/>
      <w:bookmarkStart w:id="14" w:name="_Toc217446031"/>
      <w:bookmarkStart w:id="15" w:name="_Toc9280_WPSOffice_Level1"/>
      <w:bookmarkStart w:id="16" w:name="_Toc213496267"/>
      <w:bookmarkStart w:id="17" w:name="_Toc213396759"/>
      <w:r>
        <w:rPr>
          <w:rFonts w:hint="eastAsia" w:ascii="宋体" w:hAnsi="宋体"/>
          <w:color w:val="auto"/>
          <w:sz w:val="24"/>
          <w:highlight w:val="none"/>
          <w:lang w:val="en-US" w:eastAsia="zh-CN"/>
        </w:rPr>
        <w:t>2021年12月9日</w:t>
      </w:r>
      <w:r>
        <w:rPr>
          <w:rFonts w:hint="eastAsia"/>
          <w:color w:val="auto"/>
          <w:highlight w:val="none"/>
        </w:rPr>
        <w:br w:type="page"/>
      </w:r>
    </w:p>
    <w:p>
      <w:pPr>
        <w:pStyle w:val="3"/>
        <w:spacing w:before="0" w:after="0" w:line="360" w:lineRule="auto"/>
        <w:jc w:val="center"/>
        <w:rPr>
          <w:color w:val="auto"/>
          <w:highlight w:val="none"/>
        </w:rPr>
      </w:pPr>
      <w:bookmarkStart w:id="18" w:name="_Toc13769"/>
      <w:r>
        <w:rPr>
          <w:rFonts w:hint="eastAsia"/>
          <w:color w:val="auto"/>
          <w:highlight w:val="none"/>
        </w:rPr>
        <w:t>第二章  磋商须知</w:t>
      </w:r>
      <w:bookmarkEnd w:id="10"/>
      <w:bookmarkEnd w:id="11"/>
      <w:bookmarkEnd w:id="12"/>
      <w:bookmarkEnd w:id="13"/>
      <w:bookmarkEnd w:id="14"/>
      <w:bookmarkEnd w:id="15"/>
      <w:bookmarkEnd w:id="16"/>
      <w:bookmarkEnd w:id="17"/>
      <w:bookmarkEnd w:id="18"/>
    </w:p>
    <w:p>
      <w:pPr>
        <w:pStyle w:val="5"/>
        <w:spacing w:before="0" w:after="0" w:line="360" w:lineRule="auto"/>
        <w:jc w:val="center"/>
        <w:rPr>
          <w:color w:val="auto"/>
          <w:highlight w:val="none"/>
        </w:rPr>
      </w:pPr>
      <w:bookmarkStart w:id="19" w:name="_Toc6814_WPSOffice_Level2"/>
      <w:r>
        <w:rPr>
          <w:rFonts w:hint="eastAsia"/>
          <w:color w:val="auto"/>
          <w:highlight w:val="none"/>
        </w:rPr>
        <w:t>一、供应商须知附表</w:t>
      </w:r>
      <w:bookmarkEnd w:id="19"/>
    </w:p>
    <w:tbl>
      <w:tblPr>
        <w:tblStyle w:val="19"/>
        <w:tblW w:w="5014" w:type="pct"/>
        <w:jc w:val="center"/>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Layout w:type="autofit"/>
        <w:tblCellMar>
          <w:top w:w="0" w:type="dxa"/>
          <w:left w:w="0" w:type="dxa"/>
          <w:bottom w:w="0" w:type="dxa"/>
          <w:right w:w="0" w:type="dxa"/>
        </w:tblCellMar>
      </w:tblPr>
      <w:tblGrid>
        <w:gridCol w:w="963"/>
        <w:gridCol w:w="1760"/>
        <w:gridCol w:w="6442"/>
      </w:tblGrid>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0" w:type="dxa"/>
            <w:bottom w:w="0" w:type="dxa"/>
            <w:right w:w="0" w:type="dxa"/>
          </w:tblCellMar>
        </w:tblPrEx>
        <w:trPr>
          <w:tblHeader/>
          <w:jc w:val="center"/>
        </w:trPr>
        <w:tc>
          <w:tcPr>
            <w:tcW w:w="525" w:type="pct"/>
            <w:vAlign w:val="center"/>
          </w:tcPr>
          <w:p>
            <w:pPr>
              <w:pStyle w:val="25"/>
              <w:jc w:val="center"/>
              <w:rPr>
                <w:b/>
                <w:color w:val="auto"/>
                <w:kern w:val="2"/>
                <w:sz w:val="21"/>
                <w:szCs w:val="21"/>
                <w:highlight w:val="none"/>
                <w:lang w:val="zh-CN"/>
              </w:rPr>
            </w:pPr>
            <w:r>
              <w:rPr>
                <w:rFonts w:hint="eastAsia"/>
                <w:b/>
                <w:color w:val="auto"/>
                <w:kern w:val="2"/>
                <w:sz w:val="21"/>
                <w:szCs w:val="21"/>
                <w:highlight w:val="none"/>
                <w:lang w:val="zh-CN"/>
              </w:rPr>
              <w:t>序号</w:t>
            </w:r>
          </w:p>
        </w:tc>
        <w:tc>
          <w:tcPr>
            <w:tcW w:w="960" w:type="pct"/>
            <w:vAlign w:val="center"/>
          </w:tcPr>
          <w:p>
            <w:pPr>
              <w:pStyle w:val="25"/>
              <w:ind w:firstLine="422" w:firstLineChars="200"/>
              <w:jc w:val="both"/>
              <w:rPr>
                <w:b/>
                <w:color w:val="auto"/>
                <w:kern w:val="2"/>
                <w:sz w:val="21"/>
                <w:szCs w:val="21"/>
                <w:highlight w:val="none"/>
                <w:lang w:val="zh-CN"/>
              </w:rPr>
            </w:pPr>
            <w:r>
              <w:rPr>
                <w:rFonts w:hint="eastAsia"/>
                <w:b/>
                <w:color w:val="auto"/>
                <w:kern w:val="2"/>
                <w:sz w:val="21"/>
                <w:szCs w:val="21"/>
                <w:highlight w:val="none"/>
                <w:lang w:val="zh-CN"/>
              </w:rPr>
              <w:t>应知事项</w:t>
            </w:r>
          </w:p>
        </w:tc>
        <w:tc>
          <w:tcPr>
            <w:tcW w:w="3513" w:type="pct"/>
            <w:vAlign w:val="center"/>
          </w:tcPr>
          <w:p>
            <w:pPr>
              <w:pStyle w:val="25"/>
              <w:jc w:val="center"/>
              <w:rPr>
                <w:b/>
                <w:color w:val="auto"/>
                <w:kern w:val="2"/>
                <w:sz w:val="21"/>
                <w:szCs w:val="21"/>
                <w:highlight w:val="none"/>
                <w:lang w:val="zh-CN"/>
              </w:rPr>
            </w:pPr>
            <w:r>
              <w:rPr>
                <w:rFonts w:hint="eastAsia"/>
                <w:b/>
                <w:color w:val="auto"/>
                <w:kern w:val="2"/>
                <w:sz w:val="21"/>
                <w:szCs w:val="21"/>
                <w:highlight w:val="none"/>
                <w:lang w:val="zh-CN"/>
              </w:rPr>
              <w:t>说明和要求</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0" w:type="dxa"/>
            <w:bottom w:w="0" w:type="dxa"/>
            <w:right w:w="0" w:type="dxa"/>
          </w:tblCellMar>
        </w:tblPrEx>
        <w:trPr>
          <w:jc w:val="center"/>
        </w:trPr>
        <w:tc>
          <w:tcPr>
            <w:tcW w:w="525" w:type="pct"/>
            <w:vAlign w:val="center"/>
          </w:tcPr>
          <w:p>
            <w:pPr>
              <w:pStyle w:val="25"/>
              <w:spacing w:line="360" w:lineRule="auto"/>
              <w:ind w:firstLine="420" w:firstLineChars="200"/>
              <w:rPr>
                <w:bCs/>
                <w:color w:val="auto"/>
                <w:kern w:val="2"/>
                <w:sz w:val="21"/>
                <w:szCs w:val="21"/>
                <w:highlight w:val="none"/>
                <w:lang w:val="zh-CN"/>
              </w:rPr>
            </w:pPr>
            <w:r>
              <w:rPr>
                <w:rFonts w:hint="eastAsia"/>
                <w:bCs/>
                <w:color w:val="auto"/>
                <w:kern w:val="2"/>
                <w:sz w:val="21"/>
                <w:szCs w:val="21"/>
                <w:highlight w:val="none"/>
                <w:lang w:val="zh-CN"/>
              </w:rPr>
              <w:t>1</w:t>
            </w:r>
          </w:p>
        </w:tc>
        <w:tc>
          <w:tcPr>
            <w:tcW w:w="960" w:type="pct"/>
            <w:vAlign w:val="center"/>
          </w:tcPr>
          <w:p>
            <w:pPr>
              <w:pStyle w:val="25"/>
              <w:spacing w:line="360" w:lineRule="auto"/>
              <w:jc w:val="center"/>
              <w:rPr>
                <w:bCs/>
                <w:color w:val="auto"/>
                <w:kern w:val="2"/>
                <w:sz w:val="21"/>
                <w:szCs w:val="21"/>
                <w:highlight w:val="none"/>
                <w:lang w:val="zh-CN"/>
              </w:rPr>
            </w:pPr>
            <w:r>
              <w:rPr>
                <w:rFonts w:hint="eastAsia"/>
                <w:bCs/>
                <w:color w:val="auto"/>
                <w:kern w:val="2"/>
                <w:sz w:val="21"/>
                <w:szCs w:val="21"/>
                <w:highlight w:val="none"/>
                <w:lang w:val="zh-CN"/>
              </w:rPr>
              <w:t>确定邀请磋商的供应商数量和方式</w:t>
            </w:r>
          </w:p>
        </w:tc>
        <w:tc>
          <w:tcPr>
            <w:tcW w:w="3513" w:type="pct"/>
            <w:vAlign w:val="center"/>
          </w:tcPr>
          <w:p>
            <w:pPr>
              <w:pStyle w:val="25"/>
              <w:spacing w:line="360" w:lineRule="auto"/>
              <w:ind w:firstLine="420" w:firstLineChars="200"/>
              <w:rPr>
                <w:bCs/>
                <w:color w:val="auto"/>
                <w:kern w:val="2"/>
                <w:sz w:val="21"/>
                <w:szCs w:val="21"/>
                <w:highlight w:val="none"/>
                <w:lang w:val="zh-CN"/>
              </w:rPr>
            </w:pPr>
            <w:r>
              <w:rPr>
                <w:rFonts w:hint="eastAsia"/>
                <w:bCs/>
                <w:color w:val="auto"/>
                <w:kern w:val="2"/>
                <w:sz w:val="21"/>
                <w:szCs w:val="21"/>
                <w:highlight w:val="none"/>
                <w:lang w:val="zh-CN"/>
              </w:rPr>
              <w:t>本次磋商邀请的供应商数量：不限制。</w:t>
            </w:r>
          </w:p>
          <w:p>
            <w:pPr>
              <w:pStyle w:val="25"/>
              <w:spacing w:line="360" w:lineRule="auto"/>
              <w:ind w:firstLine="420" w:firstLineChars="200"/>
              <w:rPr>
                <w:bCs/>
                <w:color w:val="auto"/>
                <w:kern w:val="2"/>
                <w:sz w:val="21"/>
                <w:szCs w:val="21"/>
                <w:highlight w:val="none"/>
                <w:lang w:val="zh-CN"/>
              </w:rPr>
            </w:pPr>
            <w:r>
              <w:rPr>
                <w:rFonts w:hint="eastAsia"/>
                <w:bCs/>
                <w:color w:val="auto"/>
                <w:kern w:val="2"/>
                <w:sz w:val="21"/>
                <w:szCs w:val="21"/>
                <w:highlight w:val="none"/>
                <w:lang w:val="zh-CN"/>
              </w:rPr>
              <w:t>本次采购采取发布公告的方式邀请参加磋商的供应商。</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0" w:type="dxa"/>
            <w:bottom w:w="0" w:type="dxa"/>
            <w:right w:w="0" w:type="dxa"/>
          </w:tblCellMar>
        </w:tblPrEx>
        <w:trPr>
          <w:jc w:val="center"/>
        </w:trPr>
        <w:tc>
          <w:tcPr>
            <w:tcW w:w="525" w:type="pct"/>
            <w:vAlign w:val="center"/>
          </w:tcPr>
          <w:p>
            <w:pPr>
              <w:pStyle w:val="25"/>
              <w:spacing w:line="360" w:lineRule="auto"/>
              <w:ind w:firstLine="420" w:firstLineChars="200"/>
              <w:rPr>
                <w:bCs/>
                <w:color w:val="auto"/>
                <w:kern w:val="2"/>
                <w:sz w:val="21"/>
                <w:szCs w:val="21"/>
                <w:highlight w:val="none"/>
              </w:rPr>
            </w:pPr>
            <w:r>
              <w:rPr>
                <w:rFonts w:hint="eastAsia"/>
                <w:bCs/>
                <w:color w:val="auto"/>
                <w:kern w:val="2"/>
                <w:sz w:val="21"/>
                <w:szCs w:val="21"/>
                <w:highlight w:val="none"/>
              </w:rPr>
              <w:t>2</w:t>
            </w:r>
          </w:p>
        </w:tc>
        <w:tc>
          <w:tcPr>
            <w:tcW w:w="960" w:type="pct"/>
            <w:vAlign w:val="center"/>
          </w:tcPr>
          <w:p>
            <w:pPr>
              <w:pStyle w:val="25"/>
              <w:spacing w:line="360" w:lineRule="auto"/>
              <w:jc w:val="center"/>
              <w:rPr>
                <w:bCs/>
                <w:color w:val="auto"/>
                <w:kern w:val="2"/>
                <w:sz w:val="21"/>
                <w:szCs w:val="21"/>
                <w:highlight w:val="none"/>
                <w:lang w:val="zh-CN"/>
              </w:rPr>
            </w:pPr>
            <w:r>
              <w:rPr>
                <w:rFonts w:hint="eastAsia"/>
                <w:bCs/>
                <w:color w:val="auto"/>
                <w:kern w:val="2"/>
                <w:sz w:val="21"/>
                <w:szCs w:val="21"/>
                <w:highlight w:val="none"/>
                <w:lang w:val="zh-CN"/>
              </w:rPr>
              <w:t>采购预算</w:t>
            </w:r>
          </w:p>
          <w:p>
            <w:pPr>
              <w:pStyle w:val="25"/>
              <w:spacing w:line="360" w:lineRule="auto"/>
              <w:jc w:val="center"/>
              <w:rPr>
                <w:bCs/>
                <w:color w:val="auto"/>
                <w:kern w:val="2"/>
                <w:sz w:val="21"/>
                <w:szCs w:val="21"/>
                <w:highlight w:val="none"/>
                <w:lang w:val="zh-CN"/>
              </w:rPr>
            </w:pPr>
            <w:r>
              <w:rPr>
                <w:rFonts w:hint="eastAsia"/>
                <w:bCs/>
                <w:color w:val="auto"/>
                <w:kern w:val="2"/>
                <w:sz w:val="21"/>
                <w:szCs w:val="21"/>
                <w:highlight w:val="none"/>
                <w:lang w:val="zh-CN"/>
              </w:rPr>
              <w:t>（实质性要求）</w:t>
            </w:r>
          </w:p>
        </w:tc>
        <w:tc>
          <w:tcPr>
            <w:tcW w:w="3513" w:type="pct"/>
            <w:vAlign w:val="center"/>
          </w:tcPr>
          <w:p>
            <w:pPr>
              <w:pStyle w:val="25"/>
              <w:spacing w:line="360" w:lineRule="auto"/>
              <w:ind w:firstLine="420" w:firstLineChars="200"/>
              <w:rPr>
                <w:bCs/>
                <w:color w:val="auto"/>
                <w:kern w:val="2"/>
                <w:sz w:val="21"/>
                <w:szCs w:val="21"/>
                <w:highlight w:val="none"/>
                <w:lang w:val="zh-CN"/>
              </w:rPr>
            </w:pPr>
            <w:r>
              <w:rPr>
                <w:rFonts w:hint="eastAsia"/>
                <w:bCs/>
                <w:color w:val="auto"/>
                <w:kern w:val="2"/>
                <w:sz w:val="21"/>
                <w:szCs w:val="21"/>
                <w:highlight w:val="none"/>
                <w:lang w:val="zh-CN"/>
              </w:rPr>
              <w:t>采购预算：</w:t>
            </w:r>
            <w:r>
              <w:rPr>
                <w:rFonts w:hint="eastAsia"/>
                <w:bCs/>
                <w:color w:val="auto"/>
                <w:kern w:val="2"/>
                <w:sz w:val="21"/>
                <w:szCs w:val="21"/>
                <w:highlight w:val="none"/>
                <w:lang w:val="en-US" w:eastAsia="zh-CN"/>
              </w:rPr>
              <w:t>19.5万元（大写：壹拾玖万伍仟元整）</w:t>
            </w:r>
            <w:r>
              <w:rPr>
                <w:rFonts w:hint="eastAsia"/>
                <w:bCs/>
                <w:color w:val="auto"/>
                <w:kern w:val="2"/>
                <w:sz w:val="21"/>
                <w:szCs w:val="21"/>
                <w:highlight w:val="none"/>
                <w:lang w:val="zh-CN"/>
              </w:rPr>
              <w:t>。</w:t>
            </w:r>
          </w:p>
          <w:p>
            <w:pPr>
              <w:pStyle w:val="25"/>
              <w:spacing w:line="360" w:lineRule="auto"/>
              <w:ind w:left="420" w:leftChars="200"/>
              <w:rPr>
                <w:b/>
                <w:color w:val="auto"/>
                <w:kern w:val="2"/>
                <w:sz w:val="21"/>
                <w:szCs w:val="21"/>
                <w:highlight w:val="none"/>
                <w:lang w:val="zh-CN"/>
              </w:rPr>
            </w:pPr>
            <w:r>
              <w:rPr>
                <w:rFonts w:hint="eastAsia"/>
                <w:bCs/>
                <w:color w:val="auto"/>
                <w:kern w:val="2"/>
                <w:sz w:val="21"/>
                <w:szCs w:val="21"/>
                <w:highlight w:val="none"/>
                <w:lang w:val="zh-CN"/>
              </w:rPr>
              <w:t>超过采购预算的报价无效。</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0" w:type="dxa"/>
            <w:bottom w:w="0" w:type="dxa"/>
            <w:right w:w="0" w:type="dxa"/>
          </w:tblCellMar>
        </w:tblPrEx>
        <w:trPr>
          <w:jc w:val="center"/>
        </w:trPr>
        <w:tc>
          <w:tcPr>
            <w:tcW w:w="525" w:type="pct"/>
            <w:vAlign w:val="center"/>
          </w:tcPr>
          <w:p>
            <w:pPr>
              <w:pStyle w:val="25"/>
              <w:spacing w:line="360" w:lineRule="auto"/>
              <w:ind w:firstLine="420" w:firstLineChars="200"/>
              <w:rPr>
                <w:bCs/>
                <w:color w:val="auto"/>
                <w:kern w:val="2"/>
                <w:sz w:val="21"/>
                <w:szCs w:val="21"/>
                <w:highlight w:val="none"/>
              </w:rPr>
            </w:pPr>
            <w:r>
              <w:rPr>
                <w:rFonts w:hint="eastAsia"/>
                <w:bCs/>
                <w:color w:val="auto"/>
                <w:kern w:val="2"/>
                <w:sz w:val="21"/>
                <w:szCs w:val="21"/>
                <w:highlight w:val="none"/>
              </w:rPr>
              <w:t>3</w:t>
            </w:r>
          </w:p>
        </w:tc>
        <w:tc>
          <w:tcPr>
            <w:tcW w:w="960" w:type="pct"/>
            <w:vAlign w:val="center"/>
          </w:tcPr>
          <w:p>
            <w:pPr>
              <w:pStyle w:val="25"/>
              <w:spacing w:line="360" w:lineRule="auto"/>
              <w:jc w:val="center"/>
              <w:rPr>
                <w:bCs/>
                <w:color w:val="auto"/>
                <w:kern w:val="2"/>
                <w:sz w:val="21"/>
                <w:szCs w:val="21"/>
                <w:highlight w:val="none"/>
              </w:rPr>
            </w:pPr>
            <w:r>
              <w:rPr>
                <w:rFonts w:hint="eastAsia"/>
                <w:bCs/>
                <w:color w:val="auto"/>
                <w:kern w:val="2"/>
                <w:sz w:val="21"/>
                <w:szCs w:val="21"/>
                <w:highlight w:val="none"/>
                <w:lang w:val="zh-CN"/>
              </w:rPr>
              <w:t>最高限价</w:t>
            </w:r>
          </w:p>
          <w:p>
            <w:pPr>
              <w:pStyle w:val="25"/>
              <w:spacing w:line="360" w:lineRule="auto"/>
              <w:jc w:val="center"/>
              <w:rPr>
                <w:bCs/>
                <w:color w:val="auto"/>
                <w:kern w:val="2"/>
                <w:sz w:val="21"/>
                <w:szCs w:val="21"/>
                <w:highlight w:val="none"/>
                <w:lang w:val="zh-CN"/>
              </w:rPr>
            </w:pPr>
            <w:r>
              <w:rPr>
                <w:rFonts w:hint="eastAsia"/>
                <w:bCs/>
                <w:color w:val="auto"/>
                <w:kern w:val="2"/>
                <w:sz w:val="21"/>
                <w:szCs w:val="21"/>
                <w:highlight w:val="none"/>
                <w:lang w:val="zh-CN"/>
              </w:rPr>
              <w:t>（实质性要求）</w:t>
            </w:r>
          </w:p>
        </w:tc>
        <w:tc>
          <w:tcPr>
            <w:tcW w:w="3513" w:type="pct"/>
            <w:vAlign w:val="center"/>
          </w:tcPr>
          <w:p>
            <w:pPr>
              <w:pStyle w:val="25"/>
              <w:spacing w:line="360" w:lineRule="auto"/>
              <w:ind w:firstLine="420" w:firstLineChars="200"/>
              <w:rPr>
                <w:bCs/>
                <w:color w:val="auto"/>
                <w:kern w:val="2"/>
                <w:sz w:val="21"/>
                <w:szCs w:val="21"/>
                <w:highlight w:val="none"/>
                <w:lang w:val="zh-CN"/>
              </w:rPr>
            </w:pPr>
            <w:r>
              <w:rPr>
                <w:rFonts w:hint="eastAsia"/>
                <w:bCs/>
                <w:color w:val="auto"/>
                <w:kern w:val="2"/>
                <w:sz w:val="21"/>
                <w:szCs w:val="21"/>
                <w:highlight w:val="none"/>
                <w:lang w:val="zh-CN"/>
              </w:rPr>
              <w:t>最高限价：19.5万元（大写：壹拾玖万伍仟元整）；</w:t>
            </w:r>
            <w:r>
              <w:rPr>
                <w:rFonts w:hint="eastAsia"/>
                <w:bCs/>
                <w:color w:val="auto"/>
                <w:kern w:val="2"/>
                <w:sz w:val="21"/>
                <w:szCs w:val="21"/>
                <w:highlight w:val="none"/>
              </w:rPr>
              <w:t xml:space="preserve"> </w:t>
            </w:r>
          </w:p>
          <w:p>
            <w:pPr>
              <w:pStyle w:val="25"/>
              <w:spacing w:line="360" w:lineRule="auto"/>
              <w:ind w:left="420" w:leftChars="200"/>
              <w:rPr>
                <w:bCs/>
                <w:color w:val="auto"/>
                <w:kern w:val="2"/>
                <w:sz w:val="21"/>
                <w:szCs w:val="21"/>
                <w:highlight w:val="none"/>
              </w:rPr>
            </w:pPr>
            <w:r>
              <w:rPr>
                <w:rFonts w:hint="eastAsia"/>
                <w:bCs/>
                <w:color w:val="auto"/>
                <w:kern w:val="2"/>
                <w:sz w:val="21"/>
                <w:szCs w:val="21"/>
                <w:highlight w:val="none"/>
                <w:lang w:val="zh-CN"/>
              </w:rPr>
              <w:t>超过最高限价的报价无效。</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0" w:type="dxa"/>
            <w:bottom w:w="0" w:type="dxa"/>
            <w:right w:w="0" w:type="dxa"/>
          </w:tblCellMar>
        </w:tblPrEx>
        <w:trPr>
          <w:trHeight w:val="419" w:hRule="atLeast"/>
          <w:jc w:val="center"/>
        </w:trPr>
        <w:tc>
          <w:tcPr>
            <w:tcW w:w="525" w:type="pct"/>
            <w:vAlign w:val="center"/>
          </w:tcPr>
          <w:p>
            <w:pPr>
              <w:pStyle w:val="25"/>
              <w:spacing w:line="360" w:lineRule="auto"/>
              <w:ind w:firstLine="420" w:firstLineChars="200"/>
              <w:rPr>
                <w:bCs/>
                <w:color w:val="auto"/>
                <w:kern w:val="2"/>
                <w:sz w:val="21"/>
                <w:szCs w:val="21"/>
                <w:highlight w:val="none"/>
                <w:lang w:val="zh-CN"/>
              </w:rPr>
            </w:pPr>
            <w:r>
              <w:rPr>
                <w:rFonts w:hint="eastAsia"/>
                <w:bCs/>
                <w:color w:val="auto"/>
                <w:kern w:val="2"/>
                <w:sz w:val="21"/>
                <w:szCs w:val="21"/>
                <w:highlight w:val="none"/>
              </w:rPr>
              <w:t>4</w:t>
            </w:r>
          </w:p>
        </w:tc>
        <w:tc>
          <w:tcPr>
            <w:tcW w:w="960" w:type="pct"/>
            <w:vAlign w:val="center"/>
          </w:tcPr>
          <w:p>
            <w:pPr>
              <w:pStyle w:val="25"/>
              <w:spacing w:line="360" w:lineRule="auto"/>
              <w:jc w:val="center"/>
              <w:rPr>
                <w:bCs/>
                <w:color w:val="auto"/>
                <w:kern w:val="2"/>
                <w:sz w:val="21"/>
                <w:szCs w:val="21"/>
                <w:highlight w:val="none"/>
              </w:rPr>
            </w:pPr>
            <w:r>
              <w:rPr>
                <w:rFonts w:hint="eastAsia"/>
                <w:bCs/>
                <w:color w:val="auto"/>
                <w:kern w:val="2"/>
                <w:sz w:val="21"/>
                <w:szCs w:val="21"/>
                <w:highlight w:val="none"/>
                <w:lang w:val="zh-CN"/>
              </w:rPr>
              <w:t>是否接受联合体</w:t>
            </w:r>
          </w:p>
          <w:p>
            <w:pPr>
              <w:pStyle w:val="25"/>
              <w:spacing w:line="360" w:lineRule="auto"/>
              <w:jc w:val="center"/>
              <w:rPr>
                <w:bCs/>
                <w:color w:val="auto"/>
                <w:kern w:val="2"/>
                <w:sz w:val="21"/>
                <w:szCs w:val="21"/>
                <w:highlight w:val="none"/>
                <w:lang w:val="zh-CN"/>
              </w:rPr>
            </w:pPr>
            <w:r>
              <w:rPr>
                <w:rFonts w:hint="eastAsia"/>
                <w:bCs/>
                <w:color w:val="auto"/>
                <w:kern w:val="2"/>
                <w:sz w:val="21"/>
                <w:szCs w:val="21"/>
                <w:highlight w:val="none"/>
                <w:lang w:val="zh-CN"/>
              </w:rPr>
              <w:t>（实质性要求）</w:t>
            </w:r>
          </w:p>
        </w:tc>
        <w:tc>
          <w:tcPr>
            <w:tcW w:w="3513" w:type="pct"/>
            <w:vAlign w:val="center"/>
          </w:tcPr>
          <w:p>
            <w:pPr>
              <w:pStyle w:val="25"/>
              <w:spacing w:line="360" w:lineRule="auto"/>
              <w:ind w:firstLine="420" w:firstLineChars="200"/>
              <w:rPr>
                <w:bCs/>
                <w:color w:val="auto"/>
                <w:kern w:val="2"/>
                <w:sz w:val="21"/>
                <w:szCs w:val="21"/>
                <w:highlight w:val="none"/>
                <w:lang w:val="zh-CN"/>
              </w:rPr>
            </w:pPr>
            <w:r>
              <w:rPr>
                <w:rFonts w:hint="eastAsia"/>
                <w:bCs/>
                <w:color w:val="auto"/>
                <w:kern w:val="2"/>
                <w:sz w:val="21"/>
                <w:szCs w:val="21"/>
                <w:highlight w:val="none"/>
                <w:lang w:val="zh-CN"/>
              </w:rPr>
              <w:t>不接受联合体</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0" w:type="dxa"/>
            <w:bottom w:w="0" w:type="dxa"/>
            <w:right w:w="0" w:type="dxa"/>
          </w:tblCellMar>
        </w:tblPrEx>
        <w:trPr>
          <w:jc w:val="center"/>
        </w:trPr>
        <w:tc>
          <w:tcPr>
            <w:tcW w:w="525" w:type="pct"/>
            <w:vAlign w:val="center"/>
          </w:tcPr>
          <w:p>
            <w:pPr>
              <w:pStyle w:val="25"/>
              <w:spacing w:line="360" w:lineRule="auto"/>
              <w:ind w:firstLine="420" w:firstLineChars="200"/>
              <w:rPr>
                <w:bCs/>
                <w:color w:val="auto"/>
                <w:kern w:val="2"/>
                <w:sz w:val="21"/>
                <w:szCs w:val="21"/>
                <w:highlight w:val="none"/>
                <w:lang w:val="zh-CN"/>
              </w:rPr>
            </w:pPr>
            <w:r>
              <w:rPr>
                <w:rFonts w:hint="eastAsia"/>
                <w:bCs/>
                <w:color w:val="auto"/>
                <w:kern w:val="2"/>
                <w:sz w:val="21"/>
                <w:szCs w:val="21"/>
                <w:highlight w:val="none"/>
                <w:lang w:val="zh-CN"/>
              </w:rPr>
              <w:t>5</w:t>
            </w:r>
          </w:p>
        </w:tc>
        <w:tc>
          <w:tcPr>
            <w:tcW w:w="960" w:type="pct"/>
            <w:vAlign w:val="center"/>
          </w:tcPr>
          <w:p>
            <w:pPr>
              <w:pStyle w:val="25"/>
              <w:spacing w:line="360" w:lineRule="auto"/>
              <w:jc w:val="center"/>
              <w:rPr>
                <w:bCs/>
                <w:color w:val="auto"/>
                <w:kern w:val="2"/>
                <w:sz w:val="21"/>
                <w:szCs w:val="21"/>
                <w:highlight w:val="none"/>
              </w:rPr>
            </w:pPr>
            <w:r>
              <w:rPr>
                <w:rFonts w:hint="eastAsia"/>
                <w:bCs/>
                <w:color w:val="auto"/>
                <w:kern w:val="2"/>
                <w:sz w:val="21"/>
                <w:szCs w:val="21"/>
                <w:highlight w:val="none"/>
              </w:rPr>
              <w:t>低于成本价不正当竞争预防措施</w:t>
            </w:r>
          </w:p>
          <w:p>
            <w:pPr>
              <w:pStyle w:val="25"/>
              <w:spacing w:line="360" w:lineRule="auto"/>
              <w:jc w:val="center"/>
              <w:rPr>
                <w:bCs/>
                <w:color w:val="auto"/>
                <w:kern w:val="2"/>
                <w:sz w:val="21"/>
                <w:szCs w:val="21"/>
                <w:highlight w:val="none"/>
              </w:rPr>
            </w:pPr>
            <w:r>
              <w:rPr>
                <w:rFonts w:hint="eastAsia"/>
                <w:bCs/>
                <w:color w:val="auto"/>
                <w:kern w:val="2"/>
                <w:sz w:val="21"/>
                <w:szCs w:val="21"/>
                <w:highlight w:val="none"/>
              </w:rPr>
              <w:t>（实质性要求）</w:t>
            </w:r>
          </w:p>
        </w:tc>
        <w:tc>
          <w:tcPr>
            <w:tcW w:w="3513" w:type="pct"/>
            <w:vAlign w:val="center"/>
          </w:tcPr>
          <w:p>
            <w:pPr>
              <w:pStyle w:val="26"/>
              <w:tabs>
                <w:tab w:val="left" w:pos="314"/>
              </w:tabs>
              <w:spacing w:line="360" w:lineRule="auto"/>
              <w:ind w:firstLine="420" w:firstLineChars="200"/>
              <w:jc w:val="left"/>
              <w:rPr>
                <w:bCs/>
                <w:color w:val="auto"/>
                <w:szCs w:val="21"/>
                <w:highlight w:val="none"/>
                <w:lang w:bidi="ar-SA"/>
              </w:rPr>
            </w:pPr>
            <w:r>
              <w:rPr>
                <w:rFonts w:hint="eastAsia"/>
                <w:bCs/>
                <w:color w:val="auto"/>
                <w:szCs w:val="21"/>
                <w:highlight w:val="none"/>
                <w:lang w:bidi="ar-SA"/>
              </w:rPr>
              <w:t>（</w:t>
            </w:r>
            <w:r>
              <w:rPr>
                <w:rFonts w:hint="eastAsia"/>
                <w:bCs/>
                <w:color w:val="auto"/>
                <w:szCs w:val="21"/>
                <w:highlight w:val="none"/>
                <w:lang w:val="en-US" w:bidi="ar-SA"/>
              </w:rPr>
              <w:t>1</w:t>
            </w:r>
            <w:r>
              <w:rPr>
                <w:rFonts w:hint="eastAsia"/>
                <w:bCs/>
                <w:color w:val="auto"/>
                <w:szCs w:val="21"/>
                <w:highlight w:val="none"/>
                <w:lang w:bidi="ar-SA"/>
              </w:rPr>
              <w:t>）在评审过程中，磋商小组认为供应商的报价明显低于其他有效供应商的报价，有可能影响产品质量或者不能诚信履约的，应当要求其在评审现场合理的时间内提供书面说明，必要时提交相关证明材料；供应商不能证明其报价合理性的，磋商小组应当将其作为无效处理。供应商书面说明应当按照国家财务会计制度的规定要求，逐项就供应商提供的货物、工程和服务的主营业务成本(应根据供应商企业类型予以区别)、税金及附加、销售费用、管理费用、财务费用等成本构成事项详细陈述[若响应文件未附财务报告的，则还需提供完整的财务状况报告(含三表一附注)]。</w:t>
            </w:r>
          </w:p>
          <w:p>
            <w:pPr>
              <w:pStyle w:val="26"/>
              <w:tabs>
                <w:tab w:val="left" w:pos="314"/>
              </w:tabs>
              <w:spacing w:line="360" w:lineRule="auto"/>
              <w:ind w:firstLine="420" w:firstLineChars="200"/>
              <w:jc w:val="left"/>
              <w:rPr>
                <w:bCs/>
                <w:color w:val="auto"/>
                <w:szCs w:val="21"/>
                <w:highlight w:val="none"/>
                <w:lang w:bidi="ar-SA"/>
              </w:rPr>
            </w:pPr>
            <w:r>
              <w:rPr>
                <w:rFonts w:hint="eastAsia"/>
                <w:bCs/>
                <w:color w:val="auto"/>
                <w:szCs w:val="21"/>
                <w:highlight w:val="none"/>
                <w:lang w:bidi="ar-SA"/>
              </w:rPr>
              <w:t>（</w:t>
            </w:r>
            <w:r>
              <w:rPr>
                <w:rFonts w:hint="eastAsia"/>
                <w:bCs/>
                <w:color w:val="auto"/>
                <w:szCs w:val="21"/>
                <w:highlight w:val="none"/>
                <w:lang w:val="en-US" w:bidi="ar-SA"/>
              </w:rPr>
              <w:t>2</w:t>
            </w:r>
            <w:r>
              <w:rPr>
                <w:rFonts w:hint="eastAsia"/>
                <w:bCs/>
                <w:color w:val="auto"/>
                <w:szCs w:val="21"/>
                <w:highlight w:val="none"/>
                <w:lang w:bidi="ar-SA"/>
              </w:rPr>
              <w:t>）供应商书面说明应当签字确认或者加盖公章，否则无效。书面说明的签字确认，供应商为法人的，由其法定代表人或者代理人签字确认；供应商为其他组织的，由其主要负责人或者代理人签字确认；供应商为自然人的，由其本人或者代理人签字确认。</w:t>
            </w:r>
          </w:p>
          <w:p>
            <w:pPr>
              <w:pStyle w:val="26"/>
              <w:tabs>
                <w:tab w:val="left" w:pos="314"/>
              </w:tabs>
              <w:spacing w:line="360" w:lineRule="auto"/>
              <w:ind w:firstLine="420" w:firstLineChars="200"/>
              <w:jc w:val="left"/>
              <w:rPr>
                <w:bCs/>
                <w:color w:val="auto"/>
                <w:szCs w:val="21"/>
                <w:highlight w:val="none"/>
              </w:rPr>
            </w:pPr>
            <w:r>
              <w:rPr>
                <w:rFonts w:hint="eastAsia"/>
                <w:bCs/>
                <w:color w:val="auto"/>
                <w:szCs w:val="21"/>
                <w:highlight w:val="none"/>
                <w:lang w:bidi="ar-SA"/>
              </w:rPr>
              <w:t>（</w:t>
            </w:r>
            <w:r>
              <w:rPr>
                <w:rFonts w:hint="eastAsia"/>
                <w:bCs/>
                <w:color w:val="auto"/>
                <w:szCs w:val="21"/>
                <w:highlight w:val="none"/>
                <w:lang w:val="en-US" w:bidi="ar-SA"/>
              </w:rPr>
              <w:t>3</w:t>
            </w:r>
            <w:r>
              <w:rPr>
                <w:rFonts w:hint="eastAsia"/>
                <w:bCs/>
                <w:color w:val="auto"/>
                <w:szCs w:val="21"/>
                <w:highlight w:val="none"/>
                <w:lang w:bidi="ar-SA"/>
              </w:rPr>
              <w:t>）供应商提供书面说明后，磋商小组应当结合采购项目采购需求、专业实际情况、供应商财务状况报告、与其他供应商比较情况等就供应商书面说明进行审查评价。供应商拒绝或者变相拒绝(包括未在规定时间内提供的)提供有效书面说明或者书面说明不能证明其报价合理性的，磋商小组应当将其响应文件作为无效处理。</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0" w:type="dxa"/>
            <w:bottom w:w="0" w:type="dxa"/>
            <w:right w:w="0" w:type="dxa"/>
          </w:tblCellMar>
        </w:tblPrEx>
        <w:trPr>
          <w:jc w:val="center"/>
        </w:trPr>
        <w:tc>
          <w:tcPr>
            <w:tcW w:w="525" w:type="pct"/>
            <w:vAlign w:val="center"/>
          </w:tcPr>
          <w:p>
            <w:pPr>
              <w:pStyle w:val="25"/>
              <w:spacing w:line="360" w:lineRule="auto"/>
              <w:ind w:firstLine="420" w:firstLineChars="200"/>
              <w:rPr>
                <w:bCs/>
                <w:color w:val="auto"/>
                <w:kern w:val="2"/>
                <w:sz w:val="21"/>
                <w:szCs w:val="21"/>
                <w:highlight w:val="none"/>
                <w:lang w:val="zh-CN"/>
              </w:rPr>
            </w:pPr>
            <w:r>
              <w:rPr>
                <w:rFonts w:hint="eastAsia"/>
                <w:bCs/>
                <w:color w:val="auto"/>
                <w:kern w:val="2"/>
                <w:sz w:val="21"/>
                <w:szCs w:val="21"/>
                <w:highlight w:val="none"/>
                <w:lang w:val="zh-CN"/>
              </w:rPr>
              <w:t>6</w:t>
            </w:r>
          </w:p>
        </w:tc>
        <w:tc>
          <w:tcPr>
            <w:tcW w:w="960" w:type="pct"/>
            <w:vAlign w:val="center"/>
          </w:tcPr>
          <w:p>
            <w:pPr>
              <w:pStyle w:val="25"/>
              <w:spacing w:line="360" w:lineRule="auto"/>
              <w:jc w:val="center"/>
              <w:rPr>
                <w:bCs/>
                <w:color w:val="auto"/>
                <w:kern w:val="2"/>
                <w:sz w:val="21"/>
                <w:szCs w:val="21"/>
                <w:highlight w:val="none"/>
              </w:rPr>
            </w:pPr>
            <w:r>
              <w:rPr>
                <w:rFonts w:hint="eastAsia"/>
                <w:bCs/>
                <w:color w:val="auto"/>
                <w:kern w:val="2"/>
                <w:sz w:val="21"/>
                <w:szCs w:val="21"/>
                <w:highlight w:val="none"/>
              </w:rPr>
              <w:t>小微企业（监狱企业、残疾人福利性单位视同小微企业）价格扣除和失信企业报价加成</w:t>
            </w:r>
            <w:r>
              <w:rPr>
                <w:rFonts w:hint="eastAsia"/>
                <w:color w:val="auto"/>
                <w:sz w:val="21"/>
                <w:szCs w:val="21"/>
                <w:highlight w:val="none"/>
              </w:rPr>
              <w:t>（实质性要求）</w:t>
            </w:r>
          </w:p>
        </w:tc>
        <w:tc>
          <w:tcPr>
            <w:tcW w:w="3513" w:type="pct"/>
          </w:tcPr>
          <w:p>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一、小微企业（监狱企业、残疾人福利性单位均视同小微企业）价格扣除</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1）根据《政府采购促进中小企业发展暂行办法》（财库[2011]181号）、《关于政府采购支持监狱企业发展有关问题的通知》（财库[2014]68号）、《三部门联合发布关于促进残疾人就业政府采购政策的通知》（财库[2017]141号）的规定，对小型和微型企业、监狱企业及残疾人福利性单位产品的价格给予10%的价格扣除，用扣除后的价格参与评标。</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2）参加政府采购活动的中小企业应当提供《中小企业声明函》原件，监狱企业应当提供由省级及以上监狱管理局、戒毒管理局（含新疆生产建设兵团）出具的供应商属于监狱企业的证明文件复印件（加盖鲜章），残疾人福利性单位应当提供《残疾人福利性单位声明函》原件。</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3）大中型企业和其他自然人、法人或者其他组织与小型、微型企业组成联合体共同参加非专门面向中小企业的政府采购活动的，联合体投标协议中约定，小型、微型企业的协议合同金额占到联合体投标协议合同总金额30%以上的，可给予联合体3%的价格扣除。联合体各方均为小型、微型企业的，联合体视同为小型、微型企业享受规定的扶持政策。组成联合体的大中型企业和其他自然人、法人或者其他组织，与小型、微型企业之间不得存在投资关系。</w:t>
            </w:r>
          </w:p>
          <w:p>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二、失信企业报价加成</w:t>
            </w:r>
          </w:p>
          <w:p>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对按照《四川省政府采购当事人诚信管理办法》（川财采[2015]33号）记入诚信档案的且在有效期内的失信供应商（被纳入法院、工商行政管理部门、税务部门、银行认定的失信名单且在有效期内的供应商以及列入“信用中国”网站(www.creditchina.gov.cn)、“中国政府采购网”网站(www.ccgp.gov.cn)中任一网站的失信被执行人名单或重大税收违法案件当事人名单或政府采购严重违法失信行为记录名单的除外），在参加政府采购活动中实行10%/次的报价加成、以加成后报价作为该供应商报价评标，因其失信行为进行报价加成惩戒后报价超过政府采购预算的，其投标文件按照无效处理。</w:t>
            </w:r>
          </w:p>
          <w:p>
            <w:pPr>
              <w:pStyle w:val="25"/>
              <w:spacing w:line="360" w:lineRule="auto"/>
              <w:ind w:firstLine="420" w:firstLineChars="200"/>
              <w:rPr>
                <w:color w:val="auto"/>
                <w:sz w:val="21"/>
                <w:szCs w:val="21"/>
                <w:highlight w:val="none"/>
              </w:rPr>
            </w:pPr>
            <w:r>
              <w:rPr>
                <w:rFonts w:hint="eastAsia"/>
                <w:color w:val="auto"/>
                <w:sz w:val="21"/>
                <w:szCs w:val="21"/>
                <w:highlight w:val="none"/>
              </w:rPr>
              <w:t>（2）供应商参加政府采购活动时，应当就自己的诚信情况在响应文件中进行承诺。</w:t>
            </w:r>
          </w:p>
          <w:p>
            <w:pPr>
              <w:pStyle w:val="25"/>
              <w:spacing w:line="360" w:lineRule="auto"/>
              <w:ind w:firstLine="422" w:firstLineChars="200"/>
              <w:rPr>
                <w:color w:val="auto"/>
                <w:sz w:val="21"/>
                <w:szCs w:val="21"/>
                <w:highlight w:val="none"/>
              </w:rPr>
            </w:pPr>
            <w:r>
              <w:rPr>
                <w:rFonts w:hint="eastAsia"/>
                <w:b/>
                <w:bCs/>
                <w:color w:val="auto"/>
                <w:sz w:val="21"/>
                <w:szCs w:val="21"/>
                <w:highlight w:val="none"/>
              </w:rPr>
              <w:t>三、符合扶持不发达地区和少数民族地区政策条件的，在同等条件下享有优先采购的机会。</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0" w:type="dxa"/>
            <w:bottom w:w="0" w:type="dxa"/>
            <w:right w:w="0" w:type="dxa"/>
          </w:tblCellMar>
        </w:tblPrEx>
        <w:trPr>
          <w:jc w:val="center"/>
        </w:trPr>
        <w:tc>
          <w:tcPr>
            <w:tcW w:w="525" w:type="pct"/>
            <w:vAlign w:val="center"/>
          </w:tcPr>
          <w:p>
            <w:pPr>
              <w:pStyle w:val="25"/>
              <w:spacing w:line="360" w:lineRule="auto"/>
              <w:ind w:firstLine="420" w:firstLineChars="200"/>
              <w:rPr>
                <w:bCs/>
                <w:color w:val="auto"/>
                <w:kern w:val="2"/>
                <w:sz w:val="21"/>
                <w:szCs w:val="21"/>
                <w:highlight w:val="none"/>
              </w:rPr>
            </w:pPr>
            <w:r>
              <w:rPr>
                <w:rFonts w:hint="eastAsia"/>
                <w:bCs/>
                <w:color w:val="auto"/>
                <w:kern w:val="2"/>
                <w:sz w:val="21"/>
                <w:szCs w:val="21"/>
                <w:highlight w:val="none"/>
              </w:rPr>
              <w:t>7</w:t>
            </w:r>
          </w:p>
        </w:tc>
        <w:tc>
          <w:tcPr>
            <w:tcW w:w="960" w:type="pct"/>
            <w:vAlign w:val="center"/>
          </w:tcPr>
          <w:p>
            <w:pPr>
              <w:spacing w:line="360" w:lineRule="auto"/>
              <w:ind w:left="105" w:leftChars="50" w:right="105" w:rightChars="50"/>
              <w:jc w:val="center"/>
              <w:rPr>
                <w:rFonts w:hint="eastAsia" w:ascii="宋体" w:hAnsi="宋体" w:eastAsia="宋体" w:cs="宋体"/>
                <w:bCs/>
                <w:color w:val="auto"/>
                <w:szCs w:val="21"/>
                <w:highlight w:val="none"/>
                <w:lang w:val="zh-CN" w:eastAsia="zh-CN"/>
              </w:rPr>
            </w:pPr>
            <w:r>
              <w:rPr>
                <w:rFonts w:hint="eastAsia" w:ascii="宋体" w:hAnsi="宋体" w:cs="宋体"/>
                <w:color w:val="auto"/>
                <w:kern w:val="0"/>
                <w:szCs w:val="21"/>
                <w:highlight w:val="none"/>
              </w:rPr>
              <w:t>节能、环保及无线局域网产品政府采购政策</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若涉及</w:t>
            </w:r>
            <w:r>
              <w:rPr>
                <w:rFonts w:hint="eastAsia" w:ascii="宋体" w:hAnsi="宋体" w:cs="宋体"/>
                <w:color w:val="auto"/>
                <w:kern w:val="0"/>
                <w:szCs w:val="21"/>
                <w:highlight w:val="none"/>
                <w:lang w:eastAsia="zh-CN"/>
              </w:rPr>
              <w:t>）</w:t>
            </w:r>
          </w:p>
        </w:tc>
        <w:tc>
          <w:tcPr>
            <w:tcW w:w="3513" w:type="pct"/>
            <w:vAlign w:val="center"/>
          </w:tcPr>
          <w:p>
            <w:pPr>
              <w:spacing w:line="360" w:lineRule="auto"/>
              <w:ind w:right="105" w:rightChars="50" w:firstLine="422" w:firstLineChars="200"/>
              <w:rPr>
                <w:rFonts w:ascii="宋体" w:hAnsi="宋体" w:cs="宋体"/>
                <w:b/>
                <w:color w:val="auto"/>
                <w:szCs w:val="21"/>
                <w:highlight w:val="none"/>
              </w:rPr>
            </w:pPr>
            <w:r>
              <w:rPr>
                <w:rFonts w:hint="eastAsia" w:ascii="宋体" w:hAnsi="宋体" w:cs="宋体"/>
                <w:b/>
                <w:color w:val="auto"/>
                <w:szCs w:val="21"/>
                <w:highlight w:val="none"/>
              </w:rPr>
              <w:t>一、节能、环保产品政府采购政策：</w:t>
            </w:r>
          </w:p>
          <w:p>
            <w:pPr>
              <w:spacing w:line="360" w:lineRule="auto"/>
              <w:ind w:right="105" w:rightChars="50" w:firstLine="420" w:firstLineChars="200"/>
              <w:rPr>
                <w:rFonts w:ascii="宋体" w:hAnsi="宋体" w:cs="宋体"/>
                <w:color w:val="auto"/>
                <w:szCs w:val="21"/>
                <w:highlight w:val="none"/>
              </w:rPr>
            </w:pPr>
            <w:r>
              <w:rPr>
                <w:rFonts w:hint="eastAsia" w:ascii="宋体" w:hAnsi="宋体" w:cs="宋体"/>
                <w:color w:val="auto"/>
                <w:szCs w:val="21"/>
                <w:highlight w:val="none"/>
              </w:rPr>
              <w:t>根据《财政部 发展改革委 生态环境部 市场监管总局关于调整优化节能产品、环境标志产品政府采购执行机制的通知》（财库〔2019〕9号）相关要求，依据品目清单和认证证书实施政府优先采购和强制采购。本项目采购的产品属于品目清单范围的，依据国家确定的认证机构出具的、处于有效期之内的节能产品、环境标志产品认证证书，对获得证书的产品实施政府优先采购或强制采购。</w:t>
            </w:r>
          </w:p>
          <w:p>
            <w:pPr>
              <w:spacing w:line="360" w:lineRule="auto"/>
              <w:ind w:right="105" w:rightChars="50" w:firstLine="420" w:firstLineChars="200"/>
              <w:rPr>
                <w:rFonts w:ascii="宋体" w:hAnsi="宋体" w:cs="宋体"/>
                <w:color w:val="auto"/>
                <w:szCs w:val="21"/>
                <w:highlight w:val="none"/>
              </w:rPr>
            </w:pPr>
            <w:r>
              <w:rPr>
                <w:rFonts w:hint="eastAsia" w:ascii="宋体" w:hAnsi="宋体" w:cs="宋体"/>
                <w:color w:val="auto"/>
                <w:szCs w:val="21"/>
                <w:highlight w:val="none"/>
              </w:rPr>
              <w:t>本项目采购的产品属于品目清单强制采购范围的，供应商应按上述要求提供产品认证证书复印件并加盖供应商单位公章（鲜章），否则响应无效。</w:t>
            </w:r>
            <w:r>
              <w:rPr>
                <w:rFonts w:hint="eastAsia" w:ascii="宋体" w:hAnsi="宋体" w:cs="宋体"/>
                <w:b/>
                <w:color w:val="auto"/>
                <w:szCs w:val="21"/>
                <w:highlight w:val="none"/>
              </w:rPr>
              <w:t>（实质性要求）</w:t>
            </w:r>
          </w:p>
          <w:p>
            <w:pPr>
              <w:spacing w:line="360" w:lineRule="auto"/>
              <w:ind w:right="105" w:rightChars="50" w:firstLine="420" w:firstLineChars="200"/>
              <w:rPr>
                <w:rFonts w:ascii="宋体" w:hAnsi="宋体" w:cs="宋体"/>
                <w:color w:val="auto"/>
                <w:szCs w:val="21"/>
                <w:highlight w:val="none"/>
              </w:rPr>
            </w:pPr>
            <w:r>
              <w:rPr>
                <w:rFonts w:hint="eastAsia" w:ascii="宋体" w:hAnsi="宋体" w:cs="宋体"/>
                <w:color w:val="auto"/>
                <w:szCs w:val="21"/>
                <w:highlight w:val="none"/>
              </w:rPr>
              <w:t>本项目采购的产品属于品目清单优先采购范围的，按照第八章《综合评分明细表》的规则进行加分。</w:t>
            </w:r>
          </w:p>
          <w:p>
            <w:pPr>
              <w:spacing w:line="360" w:lineRule="auto"/>
              <w:ind w:right="105" w:rightChars="50" w:firstLine="420" w:firstLineChars="200"/>
              <w:rPr>
                <w:rFonts w:ascii="宋体" w:hAnsi="宋体" w:cs="宋体"/>
                <w:color w:val="auto"/>
                <w:szCs w:val="21"/>
                <w:highlight w:val="none"/>
              </w:rPr>
            </w:pPr>
            <w:r>
              <w:rPr>
                <w:rFonts w:hint="eastAsia" w:ascii="宋体" w:hAnsi="宋体" w:cs="宋体"/>
                <w:color w:val="auto"/>
                <w:szCs w:val="21"/>
                <w:highlight w:val="none"/>
              </w:rPr>
              <w:t>注：对政府采购节能产品、环境标志产品实施品目清单管理。财政部、发展改革委、生态环境部等部门确定实施政府优先采购和强制采购的产品类别，以品目清单的形式发布并适时调整。</w:t>
            </w:r>
          </w:p>
          <w:p>
            <w:pPr>
              <w:spacing w:line="360" w:lineRule="auto"/>
              <w:ind w:right="105" w:rightChars="50" w:firstLine="422" w:firstLineChars="200"/>
              <w:rPr>
                <w:rFonts w:ascii="宋体" w:hAnsi="宋体" w:cs="宋体"/>
                <w:b/>
                <w:color w:val="auto"/>
                <w:szCs w:val="21"/>
                <w:highlight w:val="none"/>
              </w:rPr>
            </w:pPr>
            <w:r>
              <w:rPr>
                <w:rFonts w:hint="eastAsia" w:ascii="宋体" w:hAnsi="宋体" w:cs="宋体"/>
                <w:b/>
                <w:color w:val="auto"/>
                <w:szCs w:val="21"/>
                <w:highlight w:val="none"/>
              </w:rPr>
              <w:t>二、无线局域网产品政府采购政策：</w:t>
            </w:r>
          </w:p>
          <w:p>
            <w:pPr>
              <w:spacing w:line="360" w:lineRule="auto"/>
              <w:ind w:right="105" w:rightChars="50" w:firstLine="420" w:firstLineChars="200"/>
              <w:rPr>
                <w:rFonts w:ascii="宋体" w:hAnsi="宋体" w:cs="宋体"/>
                <w:bCs/>
                <w:color w:val="auto"/>
                <w:szCs w:val="21"/>
                <w:highlight w:val="none"/>
                <w:lang w:val="zh-CN"/>
              </w:rPr>
            </w:pPr>
            <w:r>
              <w:rPr>
                <w:rFonts w:hint="eastAsia" w:ascii="宋体" w:hAnsi="宋体" w:cs="宋体"/>
                <w:color w:val="auto"/>
                <w:szCs w:val="21"/>
                <w:highlight w:val="none"/>
              </w:rPr>
              <w:t>本项目采购的产品若属于中国政府采购网公布的《无线局域网认证产品政府采购清单》的，按照第八章《综合评分明细表》的规则进行加分。</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0" w:type="dxa"/>
            <w:bottom w:w="0" w:type="dxa"/>
            <w:right w:w="0" w:type="dxa"/>
          </w:tblCellMar>
        </w:tblPrEx>
        <w:trPr>
          <w:jc w:val="center"/>
        </w:trPr>
        <w:tc>
          <w:tcPr>
            <w:tcW w:w="525" w:type="pct"/>
            <w:vAlign w:val="center"/>
          </w:tcPr>
          <w:p>
            <w:pPr>
              <w:pStyle w:val="25"/>
              <w:spacing w:line="360" w:lineRule="auto"/>
              <w:ind w:firstLine="420" w:firstLineChars="200"/>
              <w:rPr>
                <w:bCs/>
                <w:color w:val="auto"/>
                <w:kern w:val="2"/>
                <w:sz w:val="21"/>
                <w:szCs w:val="21"/>
                <w:highlight w:val="none"/>
              </w:rPr>
            </w:pPr>
            <w:r>
              <w:rPr>
                <w:rFonts w:hint="eastAsia"/>
                <w:bCs/>
                <w:color w:val="auto"/>
                <w:kern w:val="2"/>
                <w:sz w:val="21"/>
                <w:szCs w:val="21"/>
                <w:highlight w:val="none"/>
              </w:rPr>
              <w:t>8</w:t>
            </w:r>
          </w:p>
        </w:tc>
        <w:tc>
          <w:tcPr>
            <w:tcW w:w="960" w:type="pct"/>
            <w:vAlign w:val="center"/>
          </w:tcPr>
          <w:p>
            <w:pPr>
              <w:pStyle w:val="25"/>
              <w:spacing w:line="360" w:lineRule="auto"/>
              <w:jc w:val="center"/>
              <w:rPr>
                <w:bCs/>
                <w:color w:val="auto"/>
                <w:kern w:val="2"/>
                <w:sz w:val="21"/>
                <w:szCs w:val="21"/>
                <w:highlight w:val="none"/>
                <w:lang w:val="zh-CN"/>
              </w:rPr>
            </w:pPr>
            <w:r>
              <w:rPr>
                <w:rFonts w:hint="eastAsia"/>
                <w:bCs/>
                <w:color w:val="auto"/>
                <w:kern w:val="2"/>
                <w:sz w:val="21"/>
                <w:szCs w:val="21"/>
                <w:highlight w:val="none"/>
                <w:lang w:val="zh-CN"/>
              </w:rPr>
              <w:t>磋商保证金</w:t>
            </w:r>
          </w:p>
          <w:p>
            <w:pPr>
              <w:pStyle w:val="25"/>
              <w:spacing w:line="360" w:lineRule="auto"/>
              <w:jc w:val="center"/>
              <w:rPr>
                <w:bCs/>
                <w:color w:val="auto"/>
                <w:kern w:val="2"/>
                <w:sz w:val="21"/>
                <w:szCs w:val="21"/>
                <w:highlight w:val="none"/>
                <w:lang w:val="zh-CN"/>
              </w:rPr>
            </w:pPr>
            <w:r>
              <w:rPr>
                <w:rFonts w:hint="eastAsia"/>
                <w:color w:val="auto"/>
                <w:sz w:val="21"/>
                <w:szCs w:val="21"/>
                <w:highlight w:val="none"/>
              </w:rPr>
              <w:t>（实质性要求）</w:t>
            </w:r>
          </w:p>
        </w:tc>
        <w:tc>
          <w:tcPr>
            <w:tcW w:w="3513" w:type="pct"/>
            <w:vAlign w:val="center"/>
          </w:tcPr>
          <w:p>
            <w:pPr>
              <w:spacing w:line="36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本项目不收取</w:t>
            </w:r>
            <w:r>
              <w:rPr>
                <w:rFonts w:hint="eastAsia" w:ascii="宋体" w:hAnsi="宋体" w:cs="宋体"/>
                <w:bCs/>
                <w:color w:val="auto"/>
                <w:szCs w:val="21"/>
                <w:highlight w:val="none"/>
                <w:lang w:val="zh-CN"/>
              </w:rPr>
              <w:t>。</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0" w:type="dxa"/>
            <w:bottom w:w="0" w:type="dxa"/>
            <w:right w:w="0" w:type="dxa"/>
          </w:tblCellMar>
        </w:tblPrEx>
        <w:trPr>
          <w:jc w:val="center"/>
        </w:trPr>
        <w:tc>
          <w:tcPr>
            <w:tcW w:w="525" w:type="pct"/>
            <w:vAlign w:val="center"/>
          </w:tcPr>
          <w:p>
            <w:pPr>
              <w:pStyle w:val="25"/>
              <w:spacing w:line="360" w:lineRule="auto"/>
              <w:ind w:firstLine="420" w:firstLineChars="200"/>
              <w:rPr>
                <w:bCs/>
                <w:color w:val="auto"/>
                <w:kern w:val="2"/>
                <w:sz w:val="21"/>
                <w:szCs w:val="21"/>
                <w:highlight w:val="none"/>
              </w:rPr>
            </w:pPr>
            <w:r>
              <w:rPr>
                <w:rFonts w:hint="eastAsia"/>
                <w:bCs/>
                <w:color w:val="auto"/>
                <w:kern w:val="2"/>
                <w:sz w:val="21"/>
                <w:szCs w:val="21"/>
                <w:highlight w:val="none"/>
              </w:rPr>
              <w:t>9</w:t>
            </w:r>
          </w:p>
        </w:tc>
        <w:tc>
          <w:tcPr>
            <w:tcW w:w="960" w:type="pct"/>
            <w:vAlign w:val="center"/>
          </w:tcPr>
          <w:p>
            <w:pPr>
              <w:pStyle w:val="25"/>
              <w:spacing w:line="360" w:lineRule="auto"/>
              <w:jc w:val="center"/>
              <w:rPr>
                <w:bCs/>
                <w:color w:val="auto"/>
                <w:kern w:val="2"/>
                <w:sz w:val="21"/>
                <w:szCs w:val="21"/>
                <w:highlight w:val="none"/>
                <w:lang w:val="zh-CN"/>
              </w:rPr>
            </w:pPr>
            <w:r>
              <w:rPr>
                <w:rFonts w:hint="eastAsia"/>
                <w:bCs/>
                <w:color w:val="auto"/>
                <w:kern w:val="2"/>
                <w:sz w:val="21"/>
                <w:szCs w:val="21"/>
                <w:highlight w:val="none"/>
                <w:lang w:val="zh-CN"/>
              </w:rPr>
              <w:t>履约保证金</w:t>
            </w:r>
          </w:p>
        </w:tc>
        <w:tc>
          <w:tcPr>
            <w:tcW w:w="3513" w:type="pct"/>
            <w:vAlign w:val="center"/>
          </w:tcPr>
          <w:p>
            <w:pPr>
              <w:pStyle w:val="25"/>
              <w:spacing w:line="360" w:lineRule="auto"/>
              <w:ind w:firstLine="420" w:firstLineChars="200"/>
              <w:rPr>
                <w:rFonts w:hint="default" w:eastAsia="宋体"/>
                <w:bCs/>
                <w:color w:val="auto"/>
                <w:kern w:val="2"/>
                <w:sz w:val="21"/>
                <w:szCs w:val="21"/>
                <w:highlight w:val="none"/>
                <w:lang w:val="en-US" w:eastAsia="zh-CN"/>
              </w:rPr>
            </w:pPr>
            <w:r>
              <w:rPr>
                <w:rFonts w:hint="eastAsia" w:ascii="宋体" w:hAnsi="宋体" w:eastAsia="宋体" w:cs="宋体"/>
                <w:bCs/>
                <w:color w:val="auto"/>
                <w:kern w:val="2"/>
                <w:sz w:val="21"/>
                <w:szCs w:val="21"/>
                <w:highlight w:val="none"/>
                <w:lang w:val="en-US" w:eastAsia="zh-CN" w:bidi="ar-SA"/>
              </w:rPr>
              <w:t>本项目不收取</w:t>
            </w:r>
            <w:r>
              <w:rPr>
                <w:rFonts w:hint="eastAsia" w:ascii="宋体" w:hAnsi="宋体" w:eastAsia="宋体" w:cs="宋体"/>
                <w:bCs/>
                <w:color w:val="auto"/>
                <w:kern w:val="2"/>
                <w:sz w:val="21"/>
                <w:szCs w:val="21"/>
                <w:highlight w:val="none"/>
                <w:lang w:val="zh-CN" w:eastAsia="zh-CN" w:bidi="ar-SA"/>
              </w:rPr>
              <w:t>。</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0" w:type="dxa"/>
            <w:bottom w:w="0" w:type="dxa"/>
            <w:right w:w="0" w:type="dxa"/>
          </w:tblCellMar>
        </w:tblPrEx>
        <w:trPr>
          <w:jc w:val="center"/>
        </w:trPr>
        <w:tc>
          <w:tcPr>
            <w:tcW w:w="525" w:type="pct"/>
            <w:vAlign w:val="center"/>
          </w:tcPr>
          <w:p>
            <w:pPr>
              <w:pStyle w:val="25"/>
              <w:spacing w:line="360" w:lineRule="auto"/>
              <w:ind w:firstLine="420" w:firstLineChars="200"/>
              <w:rPr>
                <w:bCs/>
                <w:color w:val="auto"/>
                <w:kern w:val="2"/>
                <w:sz w:val="21"/>
                <w:szCs w:val="21"/>
                <w:highlight w:val="none"/>
                <w:lang w:val="zh-CN"/>
              </w:rPr>
            </w:pPr>
            <w:r>
              <w:rPr>
                <w:rFonts w:hint="eastAsia"/>
                <w:bCs/>
                <w:color w:val="auto"/>
                <w:kern w:val="2"/>
                <w:sz w:val="21"/>
                <w:szCs w:val="21"/>
                <w:highlight w:val="none"/>
                <w:lang w:val="zh-CN"/>
              </w:rPr>
              <w:t>1</w:t>
            </w:r>
            <w:r>
              <w:rPr>
                <w:rFonts w:hint="eastAsia"/>
                <w:bCs/>
                <w:color w:val="auto"/>
                <w:kern w:val="2"/>
                <w:sz w:val="21"/>
                <w:szCs w:val="21"/>
                <w:highlight w:val="none"/>
              </w:rPr>
              <w:t>0</w:t>
            </w:r>
          </w:p>
        </w:tc>
        <w:tc>
          <w:tcPr>
            <w:tcW w:w="960" w:type="pct"/>
            <w:vAlign w:val="center"/>
          </w:tcPr>
          <w:p>
            <w:pPr>
              <w:pStyle w:val="25"/>
              <w:spacing w:line="360" w:lineRule="auto"/>
              <w:jc w:val="center"/>
              <w:rPr>
                <w:bCs/>
                <w:color w:val="auto"/>
                <w:kern w:val="2"/>
                <w:sz w:val="21"/>
                <w:szCs w:val="21"/>
                <w:highlight w:val="none"/>
                <w:lang w:val="zh-CN"/>
              </w:rPr>
            </w:pPr>
            <w:r>
              <w:rPr>
                <w:rFonts w:hint="eastAsia"/>
                <w:bCs/>
                <w:color w:val="auto"/>
                <w:kern w:val="2"/>
                <w:sz w:val="21"/>
                <w:szCs w:val="21"/>
                <w:highlight w:val="none"/>
              </w:rPr>
              <w:t>磋商</w:t>
            </w:r>
            <w:r>
              <w:rPr>
                <w:rFonts w:hint="eastAsia"/>
                <w:bCs/>
                <w:color w:val="auto"/>
                <w:kern w:val="2"/>
                <w:sz w:val="21"/>
                <w:szCs w:val="21"/>
                <w:highlight w:val="none"/>
                <w:lang w:val="zh-CN"/>
              </w:rPr>
              <w:t>文件咨询</w:t>
            </w:r>
          </w:p>
        </w:tc>
        <w:tc>
          <w:tcPr>
            <w:tcW w:w="3513" w:type="pct"/>
            <w:vAlign w:val="center"/>
          </w:tcPr>
          <w:p>
            <w:pPr>
              <w:pStyle w:val="25"/>
              <w:spacing w:line="360" w:lineRule="auto"/>
              <w:ind w:firstLine="420" w:firstLineChars="200"/>
              <w:rPr>
                <w:bCs/>
                <w:color w:val="auto"/>
                <w:kern w:val="2"/>
                <w:sz w:val="21"/>
                <w:szCs w:val="21"/>
                <w:highlight w:val="none"/>
                <w:lang w:val="zh-CN"/>
              </w:rPr>
            </w:pPr>
            <w:r>
              <w:rPr>
                <w:rFonts w:hint="eastAsia"/>
                <w:bCs/>
                <w:color w:val="auto"/>
                <w:kern w:val="2"/>
                <w:sz w:val="21"/>
                <w:szCs w:val="21"/>
                <w:highlight w:val="none"/>
                <w:lang w:val="zh-CN"/>
              </w:rPr>
              <w:t>联系人：</w:t>
            </w:r>
            <w:r>
              <w:rPr>
                <w:rFonts w:hint="eastAsia"/>
                <w:bCs/>
                <w:color w:val="auto"/>
                <w:kern w:val="2"/>
                <w:sz w:val="21"/>
                <w:szCs w:val="21"/>
                <w:highlight w:val="none"/>
              </w:rPr>
              <w:t>胡先生</w:t>
            </w:r>
            <w:r>
              <w:rPr>
                <w:rFonts w:hint="eastAsia"/>
                <w:bCs/>
                <w:color w:val="auto"/>
                <w:kern w:val="2"/>
                <w:sz w:val="21"/>
                <w:szCs w:val="21"/>
                <w:highlight w:val="none"/>
                <w:lang w:val="zh-CN"/>
              </w:rPr>
              <w:t xml:space="preserve">   联系电话：  028-85320556</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0" w:type="dxa"/>
            <w:bottom w:w="0" w:type="dxa"/>
            <w:right w:w="0" w:type="dxa"/>
          </w:tblCellMar>
        </w:tblPrEx>
        <w:trPr>
          <w:jc w:val="center"/>
        </w:trPr>
        <w:tc>
          <w:tcPr>
            <w:tcW w:w="525" w:type="pct"/>
            <w:vAlign w:val="center"/>
          </w:tcPr>
          <w:p>
            <w:pPr>
              <w:pStyle w:val="25"/>
              <w:spacing w:line="360" w:lineRule="auto"/>
              <w:ind w:firstLine="420" w:firstLineChars="200"/>
              <w:rPr>
                <w:bCs/>
                <w:color w:val="auto"/>
                <w:kern w:val="2"/>
                <w:sz w:val="21"/>
                <w:szCs w:val="21"/>
                <w:highlight w:val="none"/>
              </w:rPr>
            </w:pPr>
            <w:r>
              <w:rPr>
                <w:rFonts w:hint="eastAsia"/>
                <w:bCs/>
                <w:color w:val="auto"/>
                <w:kern w:val="2"/>
                <w:sz w:val="21"/>
                <w:szCs w:val="21"/>
                <w:highlight w:val="none"/>
              </w:rPr>
              <w:t>11</w:t>
            </w:r>
          </w:p>
        </w:tc>
        <w:tc>
          <w:tcPr>
            <w:tcW w:w="960" w:type="pct"/>
            <w:vAlign w:val="center"/>
          </w:tcPr>
          <w:p>
            <w:pPr>
              <w:pStyle w:val="25"/>
              <w:spacing w:line="360" w:lineRule="auto"/>
              <w:jc w:val="center"/>
              <w:rPr>
                <w:bCs/>
                <w:color w:val="auto"/>
                <w:kern w:val="2"/>
                <w:sz w:val="21"/>
                <w:szCs w:val="21"/>
                <w:highlight w:val="none"/>
                <w:lang w:val="zh-CN"/>
              </w:rPr>
            </w:pPr>
            <w:r>
              <w:rPr>
                <w:rFonts w:hint="eastAsia"/>
                <w:bCs/>
                <w:color w:val="auto"/>
                <w:kern w:val="2"/>
                <w:sz w:val="21"/>
                <w:szCs w:val="21"/>
                <w:highlight w:val="none"/>
                <w:lang w:val="zh-CN"/>
              </w:rPr>
              <w:t>磋商过程、结果工作咨询</w:t>
            </w:r>
          </w:p>
        </w:tc>
        <w:tc>
          <w:tcPr>
            <w:tcW w:w="3513" w:type="pct"/>
            <w:vAlign w:val="center"/>
          </w:tcPr>
          <w:p>
            <w:pPr>
              <w:pStyle w:val="25"/>
              <w:spacing w:line="360" w:lineRule="auto"/>
              <w:ind w:firstLine="420" w:firstLineChars="200"/>
              <w:rPr>
                <w:bCs/>
                <w:color w:val="auto"/>
                <w:kern w:val="2"/>
                <w:sz w:val="21"/>
                <w:szCs w:val="21"/>
                <w:highlight w:val="none"/>
                <w:lang w:val="zh-CN"/>
              </w:rPr>
            </w:pPr>
            <w:r>
              <w:rPr>
                <w:rFonts w:hint="eastAsia"/>
                <w:bCs/>
                <w:color w:val="auto"/>
                <w:kern w:val="2"/>
                <w:sz w:val="21"/>
                <w:szCs w:val="21"/>
                <w:highlight w:val="none"/>
                <w:lang w:val="zh-CN"/>
              </w:rPr>
              <w:t>联系人：</w:t>
            </w:r>
            <w:r>
              <w:rPr>
                <w:rFonts w:hint="eastAsia"/>
                <w:bCs/>
                <w:color w:val="auto"/>
                <w:kern w:val="2"/>
                <w:sz w:val="21"/>
                <w:szCs w:val="21"/>
                <w:highlight w:val="none"/>
              </w:rPr>
              <w:t>胡先生</w:t>
            </w:r>
            <w:r>
              <w:rPr>
                <w:rFonts w:hint="eastAsia"/>
                <w:bCs/>
                <w:color w:val="auto"/>
                <w:kern w:val="2"/>
                <w:sz w:val="21"/>
                <w:szCs w:val="21"/>
                <w:highlight w:val="none"/>
                <w:lang w:val="zh-CN"/>
              </w:rPr>
              <w:t xml:space="preserve">   联系电话：  028-85320556</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0" w:type="dxa"/>
            <w:bottom w:w="0" w:type="dxa"/>
            <w:right w:w="0" w:type="dxa"/>
          </w:tblCellMar>
        </w:tblPrEx>
        <w:trPr>
          <w:jc w:val="center"/>
        </w:trPr>
        <w:tc>
          <w:tcPr>
            <w:tcW w:w="525" w:type="pct"/>
            <w:vAlign w:val="center"/>
          </w:tcPr>
          <w:p>
            <w:pPr>
              <w:pStyle w:val="25"/>
              <w:spacing w:line="360" w:lineRule="auto"/>
              <w:ind w:firstLine="420" w:firstLineChars="200"/>
              <w:rPr>
                <w:bCs/>
                <w:color w:val="auto"/>
                <w:kern w:val="2"/>
                <w:sz w:val="21"/>
                <w:szCs w:val="21"/>
                <w:highlight w:val="none"/>
                <w:lang w:val="zh-CN"/>
              </w:rPr>
            </w:pPr>
            <w:r>
              <w:rPr>
                <w:rFonts w:hint="eastAsia"/>
                <w:bCs/>
                <w:color w:val="auto"/>
                <w:kern w:val="2"/>
                <w:sz w:val="21"/>
                <w:szCs w:val="21"/>
                <w:highlight w:val="none"/>
                <w:lang w:val="zh-CN"/>
              </w:rPr>
              <w:t>1</w:t>
            </w:r>
            <w:r>
              <w:rPr>
                <w:rFonts w:hint="eastAsia"/>
                <w:bCs/>
                <w:color w:val="auto"/>
                <w:kern w:val="2"/>
                <w:sz w:val="21"/>
                <w:szCs w:val="21"/>
                <w:highlight w:val="none"/>
              </w:rPr>
              <w:t>2</w:t>
            </w:r>
          </w:p>
        </w:tc>
        <w:tc>
          <w:tcPr>
            <w:tcW w:w="960" w:type="pct"/>
            <w:vAlign w:val="center"/>
          </w:tcPr>
          <w:p>
            <w:pPr>
              <w:pStyle w:val="25"/>
              <w:spacing w:line="360" w:lineRule="auto"/>
              <w:jc w:val="center"/>
              <w:rPr>
                <w:bCs/>
                <w:color w:val="auto"/>
                <w:kern w:val="2"/>
                <w:sz w:val="21"/>
                <w:szCs w:val="21"/>
                <w:highlight w:val="none"/>
                <w:lang w:val="zh-CN"/>
              </w:rPr>
            </w:pPr>
            <w:r>
              <w:rPr>
                <w:rFonts w:hint="eastAsia"/>
                <w:bCs/>
                <w:color w:val="auto"/>
                <w:kern w:val="2"/>
                <w:sz w:val="21"/>
                <w:szCs w:val="21"/>
                <w:highlight w:val="none"/>
                <w:lang w:val="zh-CN"/>
              </w:rPr>
              <w:t>成交通知书领取</w:t>
            </w:r>
          </w:p>
        </w:tc>
        <w:tc>
          <w:tcPr>
            <w:tcW w:w="3513" w:type="pct"/>
            <w:vAlign w:val="center"/>
          </w:tcPr>
          <w:p>
            <w:pPr>
              <w:pStyle w:val="25"/>
              <w:spacing w:line="360" w:lineRule="auto"/>
              <w:ind w:firstLine="420" w:firstLineChars="200"/>
              <w:rPr>
                <w:bCs/>
                <w:color w:val="auto"/>
                <w:kern w:val="2"/>
                <w:sz w:val="21"/>
                <w:szCs w:val="21"/>
                <w:highlight w:val="none"/>
                <w:lang w:val="zh-CN"/>
              </w:rPr>
            </w:pPr>
            <w:r>
              <w:rPr>
                <w:rFonts w:hint="eastAsia"/>
                <w:bCs/>
                <w:color w:val="auto"/>
                <w:kern w:val="2"/>
                <w:sz w:val="21"/>
                <w:szCs w:val="21"/>
                <w:highlight w:val="none"/>
                <w:lang w:val="zh-CN"/>
              </w:rPr>
              <w:t>采购结果公告在成都蒙彼利埃小学门户网站上发布后，请成交供应商凭有效身份证明证件到四川易通天和招标代理有限公司领取成交通知书。</w:t>
            </w:r>
          </w:p>
          <w:p>
            <w:pPr>
              <w:pStyle w:val="25"/>
              <w:spacing w:line="360" w:lineRule="auto"/>
              <w:ind w:firstLine="420" w:firstLineChars="200"/>
              <w:rPr>
                <w:bCs/>
                <w:color w:val="auto"/>
                <w:kern w:val="2"/>
                <w:sz w:val="21"/>
                <w:szCs w:val="21"/>
                <w:highlight w:val="none"/>
                <w:lang w:val="zh-CN"/>
              </w:rPr>
            </w:pPr>
            <w:r>
              <w:rPr>
                <w:rFonts w:hint="eastAsia"/>
                <w:bCs/>
                <w:color w:val="auto"/>
                <w:kern w:val="2"/>
                <w:sz w:val="21"/>
                <w:szCs w:val="21"/>
                <w:highlight w:val="none"/>
                <w:lang w:val="zh-CN"/>
              </w:rPr>
              <w:t>联系电话：028-85320556</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0" w:type="dxa"/>
            <w:bottom w:w="0" w:type="dxa"/>
            <w:right w:w="0" w:type="dxa"/>
          </w:tblCellMar>
        </w:tblPrEx>
        <w:trPr>
          <w:jc w:val="center"/>
        </w:trPr>
        <w:tc>
          <w:tcPr>
            <w:tcW w:w="525" w:type="pct"/>
            <w:tcBorders>
              <w:top w:val="single" w:color="auto" w:sz="8" w:space="0"/>
              <w:bottom w:val="single" w:color="auto" w:sz="8" w:space="0"/>
              <w:right w:val="single" w:color="auto" w:sz="8" w:space="0"/>
            </w:tcBorders>
            <w:vAlign w:val="center"/>
          </w:tcPr>
          <w:p>
            <w:pPr>
              <w:pStyle w:val="25"/>
              <w:spacing w:line="360" w:lineRule="auto"/>
              <w:ind w:firstLine="420" w:firstLineChars="200"/>
              <w:rPr>
                <w:bCs/>
                <w:color w:val="auto"/>
                <w:kern w:val="2"/>
                <w:sz w:val="21"/>
                <w:szCs w:val="21"/>
                <w:highlight w:val="none"/>
                <w:lang w:val="zh-CN"/>
              </w:rPr>
            </w:pPr>
            <w:r>
              <w:rPr>
                <w:rFonts w:hint="eastAsia"/>
                <w:bCs/>
                <w:color w:val="auto"/>
                <w:kern w:val="2"/>
                <w:sz w:val="21"/>
                <w:szCs w:val="21"/>
                <w:highlight w:val="none"/>
              </w:rPr>
              <w:t>13</w:t>
            </w:r>
          </w:p>
        </w:tc>
        <w:tc>
          <w:tcPr>
            <w:tcW w:w="960" w:type="pct"/>
            <w:tcBorders>
              <w:top w:val="single" w:color="auto" w:sz="8" w:space="0"/>
              <w:left w:val="single" w:color="auto" w:sz="8" w:space="0"/>
              <w:bottom w:val="single" w:color="auto" w:sz="8" w:space="0"/>
              <w:right w:val="single" w:color="auto" w:sz="8" w:space="0"/>
            </w:tcBorders>
            <w:vAlign w:val="center"/>
          </w:tcPr>
          <w:p>
            <w:pPr>
              <w:pStyle w:val="25"/>
              <w:spacing w:line="360" w:lineRule="auto"/>
              <w:jc w:val="center"/>
              <w:rPr>
                <w:bCs/>
                <w:color w:val="auto"/>
                <w:kern w:val="2"/>
                <w:sz w:val="21"/>
                <w:szCs w:val="21"/>
                <w:highlight w:val="none"/>
                <w:lang w:val="zh-CN"/>
              </w:rPr>
            </w:pPr>
            <w:r>
              <w:rPr>
                <w:rFonts w:hint="eastAsia"/>
                <w:bCs/>
                <w:color w:val="auto"/>
                <w:kern w:val="2"/>
                <w:sz w:val="21"/>
                <w:szCs w:val="21"/>
                <w:highlight w:val="none"/>
              </w:rPr>
              <w:t>代理服务费</w:t>
            </w:r>
          </w:p>
        </w:tc>
        <w:tc>
          <w:tcPr>
            <w:tcW w:w="3513" w:type="pct"/>
            <w:tcBorders>
              <w:top w:val="single" w:color="auto" w:sz="8" w:space="0"/>
              <w:left w:val="single" w:color="auto" w:sz="8" w:space="0"/>
              <w:bottom w:val="single" w:color="auto" w:sz="8" w:space="0"/>
            </w:tcBorders>
            <w:vAlign w:val="center"/>
          </w:tcPr>
          <w:p>
            <w:pPr>
              <w:pStyle w:val="25"/>
              <w:spacing w:line="360" w:lineRule="auto"/>
              <w:ind w:firstLine="420" w:firstLineChars="200"/>
              <w:jc w:val="both"/>
              <w:rPr>
                <w:rFonts w:hint="eastAsia"/>
                <w:bCs/>
                <w:color w:val="auto"/>
                <w:kern w:val="2"/>
                <w:sz w:val="21"/>
                <w:szCs w:val="21"/>
                <w:highlight w:val="none"/>
              </w:rPr>
            </w:pPr>
            <w:r>
              <w:rPr>
                <w:rFonts w:hint="eastAsia"/>
                <w:bCs/>
                <w:color w:val="auto"/>
                <w:kern w:val="2"/>
                <w:sz w:val="21"/>
                <w:szCs w:val="21"/>
                <w:highlight w:val="none"/>
              </w:rPr>
              <w:t>代理服务费</w:t>
            </w:r>
            <w:r>
              <w:rPr>
                <w:rFonts w:hint="eastAsia"/>
                <w:bCs/>
                <w:color w:val="auto"/>
                <w:kern w:val="2"/>
                <w:sz w:val="21"/>
                <w:szCs w:val="21"/>
                <w:highlight w:val="none"/>
                <w:lang w:val="en-US" w:eastAsia="zh-CN"/>
              </w:rPr>
              <w:t>按</w:t>
            </w:r>
            <w:r>
              <w:rPr>
                <w:rFonts w:hint="eastAsia"/>
                <w:bCs/>
                <w:color w:val="auto"/>
                <w:kern w:val="2"/>
                <w:sz w:val="21"/>
                <w:szCs w:val="21"/>
                <w:highlight w:val="none"/>
              </w:rPr>
              <w:t>照</w:t>
            </w:r>
            <w:r>
              <w:rPr>
                <w:rFonts w:hint="eastAsia"/>
                <w:bCs/>
                <w:color w:val="auto"/>
                <w:kern w:val="2"/>
                <w:sz w:val="21"/>
                <w:szCs w:val="21"/>
                <w:highlight w:val="none"/>
                <w:lang w:val="en-US" w:eastAsia="zh-CN"/>
              </w:rPr>
              <w:t>定额4000元人民币</w:t>
            </w:r>
            <w:r>
              <w:rPr>
                <w:rFonts w:hint="eastAsia"/>
                <w:bCs/>
                <w:color w:val="auto"/>
                <w:kern w:val="2"/>
                <w:sz w:val="21"/>
                <w:szCs w:val="21"/>
                <w:highlight w:val="none"/>
              </w:rPr>
              <w:t>收取。</w:t>
            </w:r>
          </w:p>
          <w:p>
            <w:pPr>
              <w:pStyle w:val="25"/>
              <w:spacing w:line="360" w:lineRule="auto"/>
              <w:ind w:firstLine="420" w:firstLineChars="200"/>
              <w:jc w:val="both"/>
              <w:rPr>
                <w:bCs/>
                <w:color w:val="auto"/>
                <w:kern w:val="2"/>
                <w:sz w:val="21"/>
                <w:szCs w:val="21"/>
                <w:highlight w:val="none"/>
              </w:rPr>
            </w:pPr>
            <w:r>
              <w:rPr>
                <w:rFonts w:hint="eastAsia"/>
                <w:bCs/>
                <w:color w:val="auto"/>
                <w:kern w:val="2"/>
                <w:sz w:val="21"/>
                <w:szCs w:val="21"/>
                <w:highlight w:val="none"/>
              </w:rPr>
              <w:t>收取方式为在成交通知书发出时，由成交单位支付给代理机构。</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0" w:type="dxa"/>
            <w:bottom w:w="0" w:type="dxa"/>
            <w:right w:w="0" w:type="dxa"/>
          </w:tblCellMar>
        </w:tblPrEx>
        <w:trPr>
          <w:jc w:val="center"/>
        </w:trPr>
        <w:tc>
          <w:tcPr>
            <w:tcW w:w="525" w:type="pct"/>
            <w:tcBorders>
              <w:top w:val="single" w:color="auto" w:sz="8" w:space="0"/>
              <w:right w:val="single" w:color="auto" w:sz="8" w:space="0"/>
            </w:tcBorders>
            <w:vAlign w:val="center"/>
          </w:tcPr>
          <w:p>
            <w:pPr>
              <w:pStyle w:val="25"/>
              <w:pageBreakBefore w:val="0"/>
              <w:kinsoku/>
              <w:overflowPunct/>
              <w:bidi w:val="0"/>
              <w:spacing w:line="360" w:lineRule="auto"/>
              <w:ind w:firstLine="420" w:firstLineChars="200"/>
              <w:rPr>
                <w:rFonts w:hint="default" w:eastAsia="宋体"/>
                <w:bCs/>
                <w:color w:val="auto"/>
                <w:kern w:val="2"/>
                <w:sz w:val="21"/>
                <w:szCs w:val="21"/>
                <w:highlight w:val="none"/>
                <w:lang w:val="en-US" w:eastAsia="zh-CN"/>
              </w:rPr>
            </w:pPr>
            <w:r>
              <w:rPr>
                <w:rFonts w:hint="eastAsia"/>
                <w:bCs/>
                <w:color w:val="auto"/>
                <w:kern w:val="2"/>
                <w:sz w:val="21"/>
                <w:szCs w:val="21"/>
                <w:highlight w:val="none"/>
                <w:lang w:val="en-US" w:eastAsia="zh-CN"/>
              </w:rPr>
              <w:t>14</w:t>
            </w:r>
          </w:p>
        </w:tc>
        <w:tc>
          <w:tcPr>
            <w:tcW w:w="960" w:type="pct"/>
            <w:tcBorders>
              <w:top w:val="single" w:color="auto" w:sz="8" w:space="0"/>
              <w:left w:val="single" w:color="auto" w:sz="8" w:space="0"/>
              <w:right w:val="single" w:color="auto" w:sz="8" w:space="0"/>
            </w:tcBorders>
            <w:vAlign w:val="center"/>
          </w:tcPr>
          <w:p>
            <w:pPr>
              <w:pStyle w:val="25"/>
              <w:pageBreakBefore w:val="0"/>
              <w:kinsoku/>
              <w:overflowPunct/>
              <w:bidi w:val="0"/>
              <w:spacing w:line="360" w:lineRule="auto"/>
              <w:ind w:left="96" w:leftChars="0"/>
              <w:jc w:val="center"/>
              <w:rPr>
                <w:rFonts w:hint="eastAsia"/>
                <w:bCs/>
                <w:color w:val="auto"/>
                <w:kern w:val="2"/>
                <w:sz w:val="21"/>
                <w:szCs w:val="21"/>
                <w:highlight w:val="none"/>
              </w:rPr>
            </w:pPr>
            <w:r>
              <w:rPr>
                <w:rFonts w:hint="eastAsia"/>
                <w:bCs/>
                <w:color w:val="auto"/>
                <w:kern w:val="2"/>
                <w:sz w:val="21"/>
                <w:szCs w:val="21"/>
                <w:highlight w:val="none"/>
              </w:rPr>
              <w:t>响应文件份数</w:t>
            </w:r>
          </w:p>
        </w:tc>
        <w:tc>
          <w:tcPr>
            <w:tcW w:w="3513" w:type="pct"/>
            <w:tcBorders>
              <w:top w:val="single" w:color="auto" w:sz="8" w:space="0"/>
              <w:left w:val="single" w:color="auto" w:sz="8" w:space="0"/>
            </w:tcBorders>
            <w:vAlign w:val="center"/>
          </w:tcPr>
          <w:p>
            <w:pPr>
              <w:pStyle w:val="25"/>
              <w:pageBreakBefore w:val="0"/>
              <w:kinsoku/>
              <w:overflowPunct/>
              <w:bidi w:val="0"/>
              <w:spacing w:line="360" w:lineRule="auto"/>
              <w:ind w:firstLine="422" w:firstLineChars="200"/>
              <w:rPr>
                <w:b/>
                <w:color w:val="auto"/>
                <w:kern w:val="2"/>
                <w:sz w:val="21"/>
                <w:szCs w:val="21"/>
                <w:highlight w:val="none"/>
              </w:rPr>
            </w:pPr>
            <w:r>
              <w:rPr>
                <w:rFonts w:hint="eastAsia"/>
                <w:b/>
                <w:color w:val="auto"/>
                <w:kern w:val="2"/>
                <w:sz w:val="21"/>
                <w:szCs w:val="21"/>
                <w:highlight w:val="none"/>
              </w:rPr>
              <w:t>正本壹套，副本</w:t>
            </w:r>
            <w:r>
              <w:rPr>
                <w:rFonts w:hint="eastAsia"/>
                <w:b/>
                <w:color w:val="auto"/>
                <w:kern w:val="2"/>
                <w:sz w:val="21"/>
                <w:szCs w:val="21"/>
                <w:highlight w:val="none"/>
                <w:lang w:val="en-US" w:eastAsia="zh-CN"/>
              </w:rPr>
              <w:t>壹</w:t>
            </w:r>
            <w:r>
              <w:rPr>
                <w:rFonts w:hint="eastAsia"/>
                <w:b/>
                <w:color w:val="auto"/>
                <w:kern w:val="2"/>
                <w:sz w:val="21"/>
                <w:szCs w:val="21"/>
                <w:highlight w:val="none"/>
              </w:rPr>
              <w:t>套</w:t>
            </w:r>
          </w:p>
          <w:p>
            <w:pPr>
              <w:pStyle w:val="25"/>
              <w:pageBreakBefore w:val="0"/>
              <w:kinsoku/>
              <w:overflowPunct/>
              <w:bidi w:val="0"/>
              <w:spacing w:line="360" w:lineRule="auto"/>
              <w:ind w:firstLine="422" w:firstLineChars="200"/>
              <w:rPr>
                <w:rFonts w:hint="eastAsia"/>
                <w:bCs/>
                <w:color w:val="auto"/>
                <w:kern w:val="2"/>
                <w:sz w:val="21"/>
                <w:szCs w:val="21"/>
                <w:highlight w:val="none"/>
              </w:rPr>
            </w:pPr>
            <w:r>
              <w:rPr>
                <w:rFonts w:hint="eastAsia"/>
                <w:b/>
                <w:color w:val="auto"/>
                <w:kern w:val="2"/>
                <w:sz w:val="21"/>
                <w:szCs w:val="21"/>
                <w:highlight w:val="none"/>
              </w:rPr>
              <w:t>包括资格性响应文件及其他响应文件。</w:t>
            </w:r>
          </w:p>
        </w:tc>
      </w:tr>
    </w:tbl>
    <w:p>
      <w:pPr>
        <w:pStyle w:val="5"/>
        <w:spacing w:before="0" w:after="0" w:line="360" w:lineRule="auto"/>
        <w:jc w:val="center"/>
        <w:rPr>
          <w:color w:val="auto"/>
          <w:highlight w:val="none"/>
        </w:rPr>
      </w:pPr>
      <w:bookmarkStart w:id="20" w:name="_Toc24300_WPSOffice_Level2"/>
      <w:r>
        <w:rPr>
          <w:rFonts w:hint="eastAsia"/>
          <w:color w:val="auto"/>
          <w:highlight w:val="none"/>
        </w:rPr>
        <w:t>二、总  则</w:t>
      </w:r>
      <w:bookmarkEnd w:id="20"/>
    </w:p>
    <w:p>
      <w:pPr>
        <w:pStyle w:val="6"/>
        <w:keepNext w:val="0"/>
        <w:keepLines w:val="0"/>
        <w:spacing w:before="0" w:after="0" w:line="360" w:lineRule="auto"/>
        <w:ind w:firstLine="482" w:firstLineChars="200"/>
        <w:rPr>
          <w:rFonts w:ascii="宋体" w:hAnsi="宋体"/>
          <w:color w:val="auto"/>
          <w:sz w:val="24"/>
          <w:szCs w:val="24"/>
          <w:highlight w:val="none"/>
        </w:rPr>
      </w:pPr>
      <w:bookmarkStart w:id="21" w:name="_Toc183682342"/>
      <w:bookmarkStart w:id="22" w:name="_Toc183582205"/>
      <w:bookmarkStart w:id="23" w:name="_Toc217446034"/>
      <w:r>
        <w:rPr>
          <w:rFonts w:hint="eastAsia" w:ascii="宋体" w:hAnsi="宋体"/>
          <w:color w:val="auto"/>
          <w:sz w:val="24"/>
          <w:szCs w:val="24"/>
          <w:highlight w:val="none"/>
        </w:rPr>
        <w:t>1</w:t>
      </w:r>
      <w:r>
        <w:rPr>
          <w:rFonts w:ascii="宋体" w:hAnsi="宋体"/>
          <w:color w:val="auto"/>
          <w:sz w:val="24"/>
          <w:szCs w:val="24"/>
          <w:highlight w:val="none"/>
        </w:rPr>
        <w:t>.</w:t>
      </w:r>
      <w:bookmarkEnd w:id="21"/>
      <w:bookmarkEnd w:id="22"/>
      <w:r>
        <w:rPr>
          <w:rFonts w:hint="eastAsia" w:ascii="宋体" w:hAnsi="宋体"/>
          <w:color w:val="auto"/>
          <w:sz w:val="24"/>
          <w:szCs w:val="24"/>
          <w:highlight w:val="none"/>
        </w:rPr>
        <w:t>适用范围</w:t>
      </w:r>
      <w:bookmarkEnd w:id="23"/>
    </w:p>
    <w:p>
      <w:pPr>
        <w:tabs>
          <w:tab w:val="left" w:pos="7665"/>
        </w:tabs>
        <w:spacing w:line="360" w:lineRule="auto"/>
        <w:ind w:firstLine="480" w:firstLineChars="200"/>
        <w:rPr>
          <w:rFonts w:ascii="宋体" w:hAnsi="宋体"/>
          <w:color w:val="auto"/>
          <w:sz w:val="24"/>
          <w:highlight w:val="none"/>
        </w:rPr>
      </w:pPr>
      <w:r>
        <w:rPr>
          <w:rFonts w:hint="eastAsia" w:ascii="宋体" w:hAnsi="宋体"/>
          <w:color w:val="auto"/>
          <w:sz w:val="24"/>
          <w:highlight w:val="none"/>
        </w:rPr>
        <w:t>1</w:t>
      </w:r>
      <w:r>
        <w:rPr>
          <w:rFonts w:ascii="宋体" w:hAnsi="宋体"/>
          <w:color w:val="auto"/>
          <w:sz w:val="24"/>
          <w:highlight w:val="none"/>
        </w:rPr>
        <w:t>.</w:t>
      </w:r>
      <w:r>
        <w:rPr>
          <w:rFonts w:hint="eastAsia" w:ascii="宋体" w:hAnsi="宋体"/>
          <w:color w:val="auto"/>
          <w:sz w:val="24"/>
          <w:highlight w:val="none"/>
        </w:rPr>
        <w:t>1本磋商文件仅适用于本次磋商所叙述的</w:t>
      </w:r>
      <w:r>
        <w:rPr>
          <w:rFonts w:hint="eastAsia" w:ascii="宋体" w:hAnsi="宋体"/>
          <w:color w:val="auto"/>
          <w:sz w:val="24"/>
          <w:highlight w:val="none"/>
          <w:lang w:val="en-US" w:eastAsia="zh-CN"/>
        </w:rPr>
        <w:t>服务</w:t>
      </w:r>
      <w:r>
        <w:rPr>
          <w:rFonts w:hint="eastAsia" w:ascii="宋体" w:hAnsi="宋体"/>
          <w:color w:val="auto"/>
          <w:sz w:val="24"/>
          <w:highlight w:val="none"/>
        </w:rPr>
        <w:t>采购。</w:t>
      </w:r>
    </w:p>
    <w:p>
      <w:pPr>
        <w:tabs>
          <w:tab w:val="left" w:pos="7665"/>
        </w:tabs>
        <w:spacing w:line="360" w:lineRule="auto"/>
        <w:ind w:firstLine="480" w:firstLineChars="200"/>
        <w:rPr>
          <w:rFonts w:ascii="宋体" w:hAnsi="宋体"/>
          <w:color w:val="auto"/>
          <w:sz w:val="24"/>
          <w:highlight w:val="none"/>
        </w:rPr>
      </w:pPr>
      <w:r>
        <w:rPr>
          <w:rFonts w:hint="eastAsia" w:ascii="宋体" w:hAnsi="宋体"/>
          <w:color w:val="auto"/>
          <w:sz w:val="24"/>
          <w:highlight w:val="none"/>
        </w:rPr>
        <w:t>1.2本磋商文件的解释权归采购人和采购代理机构所有。</w:t>
      </w:r>
    </w:p>
    <w:p>
      <w:pPr>
        <w:rPr>
          <w:rFonts w:ascii="宋体" w:hAnsi="宋体" w:cs="宋体"/>
          <w:color w:val="auto"/>
          <w:szCs w:val="21"/>
          <w:highlight w:val="none"/>
        </w:rPr>
      </w:pPr>
    </w:p>
    <w:p>
      <w:pPr>
        <w:pStyle w:val="6"/>
        <w:keepNext w:val="0"/>
        <w:keepLines w:val="0"/>
        <w:spacing w:before="0" w:after="0" w:line="360" w:lineRule="auto"/>
        <w:ind w:firstLine="482" w:firstLineChars="200"/>
        <w:rPr>
          <w:rFonts w:ascii="宋体" w:hAnsi="宋体"/>
          <w:color w:val="auto"/>
          <w:sz w:val="24"/>
          <w:szCs w:val="24"/>
          <w:highlight w:val="none"/>
        </w:rPr>
      </w:pPr>
      <w:bookmarkStart w:id="24" w:name="_Toc183582206"/>
      <w:bookmarkStart w:id="25" w:name="_Toc217446035"/>
      <w:bookmarkStart w:id="26" w:name="_Toc183682343"/>
      <w:r>
        <w:rPr>
          <w:rFonts w:ascii="宋体" w:hAnsi="宋体"/>
          <w:color w:val="auto"/>
          <w:sz w:val="24"/>
          <w:szCs w:val="24"/>
          <w:highlight w:val="none"/>
        </w:rPr>
        <w:t>2.</w:t>
      </w:r>
      <w:bookmarkEnd w:id="24"/>
      <w:bookmarkEnd w:id="25"/>
      <w:bookmarkEnd w:id="26"/>
      <w:r>
        <w:rPr>
          <w:rFonts w:hint="eastAsia" w:ascii="宋体" w:hAnsi="宋体"/>
          <w:color w:val="auto"/>
          <w:sz w:val="24"/>
          <w:szCs w:val="24"/>
          <w:highlight w:val="none"/>
        </w:rPr>
        <w:t>采购主体</w:t>
      </w:r>
    </w:p>
    <w:p>
      <w:pPr>
        <w:tabs>
          <w:tab w:val="left" w:pos="7665"/>
        </w:tabs>
        <w:spacing w:line="360" w:lineRule="auto"/>
        <w:ind w:firstLine="480" w:firstLineChars="200"/>
        <w:rPr>
          <w:rFonts w:ascii="宋体" w:hAnsi="宋体"/>
          <w:color w:val="auto"/>
          <w:sz w:val="24"/>
          <w:highlight w:val="none"/>
        </w:rPr>
      </w:pPr>
      <w:r>
        <w:rPr>
          <w:rFonts w:hint="eastAsia" w:ascii="宋体" w:hAnsi="宋体"/>
          <w:color w:val="auto"/>
          <w:sz w:val="24"/>
          <w:highlight w:val="none"/>
        </w:rPr>
        <w:t>2</w:t>
      </w:r>
      <w:r>
        <w:rPr>
          <w:rFonts w:ascii="宋体" w:hAnsi="宋体"/>
          <w:color w:val="auto"/>
          <w:sz w:val="24"/>
          <w:highlight w:val="none"/>
        </w:rPr>
        <w:t>.</w:t>
      </w:r>
      <w:r>
        <w:rPr>
          <w:rFonts w:hint="eastAsia" w:ascii="宋体" w:hAnsi="宋体"/>
          <w:color w:val="auto"/>
          <w:sz w:val="24"/>
          <w:highlight w:val="none"/>
        </w:rPr>
        <w:t>1本次磋商的采购人是</w:t>
      </w:r>
      <w:r>
        <w:rPr>
          <w:rFonts w:hint="eastAsia" w:ascii="宋体" w:hAnsi="宋体"/>
          <w:b/>
          <w:bCs/>
          <w:color w:val="auto"/>
          <w:sz w:val="24"/>
          <w:highlight w:val="none"/>
          <w:u w:val="single"/>
          <w:lang w:eastAsia="zh-CN"/>
        </w:rPr>
        <w:t>成都蒙彼利埃小学</w:t>
      </w:r>
      <w:r>
        <w:rPr>
          <w:rFonts w:hint="eastAsia" w:ascii="宋体" w:hAnsi="宋体"/>
          <w:b/>
          <w:bCs/>
          <w:color w:val="auto"/>
          <w:sz w:val="24"/>
          <w:highlight w:val="none"/>
        </w:rPr>
        <w:t>。</w:t>
      </w:r>
    </w:p>
    <w:p>
      <w:pPr>
        <w:tabs>
          <w:tab w:val="left" w:pos="7665"/>
        </w:tabs>
        <w:spacing w:line="360" w:lineRule="auto"/>
        <w:ind w:firstLine="480" w:firstLineChars="200"/>
        <w:rPr>
          <w:rFonts w:ascii="宋体" w:hAnsi="宋体"/>
          <w:color w:val="auto"/>
          <w:sz w:val="24"/>
          <w:highlight w:val="none"/>
        </w:rPr>
      </w:pPr>
      <w:r>
        <w:rPr>
          <w:rFonts w:hint="eastAsia" w:ascii="宋体" w:hAnsi="宋体"/>
          <w:color w:val="auto"/>
          <w:sz w:val="24"/>
          <w:highlight w:val="none"/>
        </w:rPr>
        <w:t>2</w:t>
      </w:r>
      <w:r>
        <w:rPr>
          <w:rFonts w:ascii="宋体" w:hAnsi="宋体"/>
          <w:color w:val="auto"/>
          <w:sz w:val="24"/>
          <w:highlight w:val="none"/>
        </w:rPr>
        <w:t>.</w:t>
      </w:r>
      <w:r>
        <w:rPr>
          <w:rFonts w:hint="eastAsia" w:ascii="宋体" w:hAnsi="宋体"/>
          <w:color w:val="auto"/>
          <w:sz w:val="24"/>
          <w:highlight w:val="none"/>
        </w:rPr>
        <w:t>2本次磋商的采购代理机构是</w:t>
      </w:r>
      <w:r>
        <w:rPr>
          <w:rFonts w:hint="eastAsia" w:ascii="宋体" w:hAnsi="宋体"/>
          <w:b/>
          <w:bCs/>
          <w:color w:val="auto"/>
          <w:sz w:val="24"/>
          <w:highlight w:val="none"/>
          <w:u w:val="single"/>
        </w:rPr>
        <w:t>四川易通天和招标代理有限公司</w:t>
      </w:r>
      <w:r>
        <w:rPr>
          <w:rFonts w:hint="eastAsia" w:ascii="宋体" w:hAnsi="宋体"/>
          <w:color w:val="auto"/>
          <w:sz w:val="24"/>
          <w:highlight w:val="none"/>
        </w:rPr>
        <w:t>。</w:t>
      </w:r>
    </w:p>
    <w:p>
      <w:pPr>
        <w:rPr>
          <w:color w:val="auto"/>
          <w:highlight w:val="none"/>
        </w:rPr>
      </w:pPr>
      <w:bookmarkStart w:id="27" w:name="_Toc183682344"/>
      <w:bookmarkStart w:id="28" w:name="_Toc183582207"/>
      <w:bookmarkStart w:id="29" w:name="_Toc217390843"/>
      <w:bookmarkStart w:id="30" w:name="_Toc217446036"/>
    </w:p>
    <w:p>
      <w:pPr>
        <w:pStyle w:val="6"/>
        <w:keepNext w:val="0"/>
        <w:keepLines w:val="0"/>
        <w:spacing w:before="0" w:after="0" w:line="360" w:lineRule="auto"/>
        <w:ind w:firstLine="482" w:firstLineChars="200"/>
        <w:rPr>
          <w:rFonts w:ascii="宋体" w:hAnsi="宋体"/>
          <w:color w:val="auto"/>
          <w:sz w:val="24"/>
          <w:szCs w:val="24"/>
          <w:highlight w:val="none"/>
        </w:rPr>
      </w:pPr>
      <w:r>
        <w:rPr>
          <w:rFonts w:ascii="宋体" w:hAnsi="宋体"/>
          <w:color w:val="auto"/>
          <w:sz w:val="24"/>
          <w:szCs w:val="24"/>
          <w:highlight w:val="none"/>
        </w:rPr>
        <w:t>3.</w:t>
      </w:r>
      <w:r>
        <w:rPr>
          <w:rFonts w:hint="eastAsia" w:ascii="宋体" w:hAnsi="宋体"/>
          <w:color w:val="auto"/>
          <w:sz w:val="24"/>
          <w:szCs w:val="24"/>
          <w:highlight w:val="none"/>
        </w:rPr>
        <w:t>合格</w:t>
      </w:r>
      <w:bookmarkEnd w:id="27"/>
      <w:bookmarkEnd w:id="28"/>
      <w:bookmarkEnd w:id="29"/>
      <w:bookmarkEnd w:id="30"/>
      <w:r>
        <w:rPr>
          <w:rFonts w:hint="eastAsia" w:ascii="宋体" w:hAnsi="宋体"/>
          <w:color w:val="auto"/>
          <w:sz w:val="24"/>
          <w:szCs w:val="24"/>
          <w:highlight w:val="none"/>
        </w:rPr>
        <w:t>供应商（实质性要求）</w:t>
      </w:r>
    </w:p>
    <w:p>
      <w:pPr>
        <w:tabs>
          <w:tab w:val="left" w:pos="7665"/>
        </w:tabs>
        <w:spacing w:line="360" w:lineRule="auto"/>
        <w:ind w:firstLine="480" w:firstLineChars="200"/>
        <w:rPr>
          <w:rFonts w:ascii="宋体" w:hAnsi="宋体"/>
          <w:color w:val="auto"/>
          <w:sz w:val="24"/>
          <w:highlight w:val="none"/>
        </w:rPr>
      </w:pPr>
      <w:r>
        <w:rPr>
          <w:rFonts w:hint="eastAsia" w:ascii="宋体" w:hAnsi="宋体"/>
          <w:color w:val="auto"/>
          <w:sz w:val="24"/>
          <w:highlight w:val="none"/>
        </w:rPr>
        <w:t>合格供应商应具备以下条件：</w:t>
      </w:r>
    </w:p>
    <w:p>
      <w:pPr>
        <w:tabs>
          <w:tab w:val="left" w:pos="7665"/>
        </w:tabs>
        <w:spacing w:line="360" w:lineRule="auto"/>
        <w:ind w:firstLine="480" w:firstLineChars="200"/>
        <w:rPr>
          <w:rFonts w:ascii="宋体" w:hAnsi="宋体"/>
          <w:color w:val="auto"/>
          <w:spacing w:val="-4"/>
          <w:sz w:val="24"/>
          <w:highlight w:val="none"/>
        </w:rPr>
      </w:pPr>
      <w:r>
        <w:rPr>
          <w:rFonts w:hint="eastAsia" w:ascii="宋体" w:hAnsi="宋体"/>
          <w:color w:val="auto"/>
          <w:sz w:val="24"/>
          <w:highlight w:val="none"/>
        </w:rPr>
        <w:t>3.1具备法律法规和本采购文件规定的资格条件</w:t>
      </w:r>
      <w:r>
        <w:rPr>
          <w:rFonts w:hint="eastAsia" w:ascii="宋体" w:hAnsi="宋体"/>
          <w:color w:val="auto"/>
          <w:spacing w:val="-4"/>
          <w:sz w:val="24"/>
          <w:highlight w:val="none"/>
        </w:rPr>
        <w:t>；</w:t>
      </w:r>
    </w:p>
    <w:p>
      <w:pPr>
        <w:tabs>
          <w:tab w:val="left" w:pos="7665"/>
        </w:tabs>
        <w:spacing w:line="360" w:lineRule="auto"/>
        <w:ind w:firstLine="464" w:firstLineChars="200"/>
        <w:rPr>
          <w:rFonts w:ascii="宋体" w:hAnsi="宋体"/>
          <w:color w:val="auto"/>
          <w:spacing w:val="-4"/>
          <w:sz w:val="24"/>
          <w:highlight w:val="none"/>
        </w:rPr>
      </w:pPr>
      <w:r>
        <w:rPr>
          <w:rFonts w:hint="eastAsia" w:ascii="宋体" w:hAnsi="宋体"/>
          <w:color w:val="auto"/>
          <w:spacing w:val="-4"/>
          <w:sz w:val="24"/>
          <w:highlight w:val="none"/>
        </w:rPr>
        <w:t>3.2不属于禁止参加本项目采购活动的供应商；</w:t>
      </w:r>
    </w:p>
    <w:p>
      <w:pPr>
        <w:tabs>
          <w:tab w:val="left" w:pos="7665"/>
        </w:tabs>
        <w:spacing w:line="360" w:lineRule="auto"/>
        <w:ind w:firstLine="464" w:firstLineChars="200"/>
        <w:rPr>
          <w:rFonts w:ascii="宋体" w:hAnsi="宋体"/>
          <w:color w:val="auto"/>
          <w:spacing w:val="-4"/>
          <w:sz w:val="24"/>
          <w:highlight w:val="none"/>
        </w:rPr>
      </w:pPr>
      <w:r>
        <w:rPr>
          <w:rFonts w:hint="eastAsia" w:ascii="宋体" w:hAnsi="宋体"/>
          <w:color w:val="auto"/>
          <w:spacing w:val="-4"/>
          <w:sz w:val="24"/>
          <w:highlight w:val="none"/>
        </w:rPr>
        <w:t>3.3按照规定</w:t>
      </w:r>
      <w:r>
        <w:rPr>
          <w:rFonts w:hint="eastAsia" w:ascii="宋体" w:hAnsi="宋体"/>
          <w:color w:val="auto"/>
          <w:sz w:val="24"/>
          <w:highlight w:val="none"/>
        </w:rPr>
        <w:t>获取了磋商文件，属于实质性参加政府采购活动的供应商。</w:t>
      </w:r>
    </w:p>
    <w:p>
      <w:pPr>
        <w:rPr>
          <w:color w:val="auto"/>
          <w:highlight w:val="none"/>
        </w:rPr>
      </w:pPr>
      <w:bookmarkStart w:id="31" w:name="_Toc183582208"/>
      <w:bookmarkStart w:id="32" w:name="_Toc217446037"/>
      <w:bookmarkStart w:id="33" w:name="_Toc183682345"/>
    </w:p>
    <w:p>
      <w:pPr>
        <w:pStyle w:val="6"/>
        <w:keepNext w:val="0"/>
        <w:keepLines w:val="0"/>
        <w:spacing w:before="0" w:after="0" w:line="360" w:lineRule="auto"/>
        <w:ind w:firstLine="482" w:firstLineChars="200"/>
        <w:rPr>
          <w:rFonts w:ascii="宋体" w:hAnsi="宋体"/>
          <w:color w:val="auto"/>
          <w:sz w:val="24"/>
          <w:szCs w:val="24"/>
          <w:highlight w:val="none"/>
        </w:rPr>
      </w:pPr>
      <w:r>
        <w:rPr>
          <w:rFonts w:hint="eastAsia" w:ascii="宋体" w:hAnsi="宋体"/>
          <w:color w:val="auto"/>
          <w:sz w:val="24"/>
          <w:szCs w:val="24"/>
          <w:highlight w:val="none"/>
        </w:rPr>
        <w:t>4.磋商费用</w:t>
      </w:r>
      <w:bookmarkEnd w:id="31"/>
      <w:bookmarkEnd w:id="32"/>
      <w:bookmarkEnd w:id="33"/>
    </w:p>
    <w:p>
      <w:pPr>
        <w:tabs>
          <w:tab w:val="left" w:pos="7665"/>
        </w:tabs>
        <w:spacing w:line="360" w:lineRule="auto"/>
        <w:ind w:firstLine="480"/>
        <w:rPr>
          <w:rFonts w:ascii="宋体" w:hAnsi="宋体"/>
          <w:color w:val="auto"/>
          <w:sz w:val="24"/>
          <w:highlight w:val="none"/>
        </w:rPr>
      </w:pPr>
      <w:r>
        <w:rPr>
          <w:rFonts w:hint="eastAsia" w:ascii="宋体" w:hAnsi="宋体"/>
          <w:color w:val="auto"/>
          <w:sz w:val="24"/>
          <w:highlight w:val="none"/>
        </w:rPr>
        <w:t>供应商应自行承担参加磋商活动的全部费用。</w:t>
      </w:r>
    </w:p>
    <w:p>
      <w:pPr>
        <w:rPr>
          <w:rFonts w:ascii="Times New Roman"/>
          <w:color w:val="auto"/>
          <w:highlight w:val="none"/>
        </w:rPr>
      </w:pPr>
    </w:p>
    <w:p>
      <w:pPr>
        <w:pStyle w:val="6"/>
        <w:keepNext w:val="0"/>
        <w:keepLines w:val="0"/>
        <w:spacing w:before="0" w:after="0" w:line="360" w:lineRule="auto"/>
        <w:ind w:firstLine="482" w:firstLineChars="200"/>
        <w:rPr>
          <w:rFonts w:ascii="宋体" w:hAnsi="宋体"/>
          <w:color w:val="auto"/>
          <w:sz w:val="24"/>
          <w:szCs w:val="24"/>
          <w:highlight w:val="none"/>
        </w:rPr>
      </w:pPr>
      <w:r>
        <w:rPr>
          <w:rFonts w:hint="eastAsia" w:ascii="宋体" w:hAnsi="宋体"/>
          <w:color w:val="auto"/>
          <w:sz w:val="24"/>
          <w:szCs w:val="24"/>
          <w:highlight w:val="none"/>
        </w:rPr>
        <w:t>5.充分、公平竞争保障措施（实质性要求）</w:t>
      </w:r>
    </w:p>
    <w:p>
      <w:pPr>
        <w:pStyle w:val="27"/>
        <w:spacing w:line="360" w:lineRule="auto"/>
        <w:ind w:left="1" w:firstLine="480" w:firstLineChars="200"/>
        <w:rPr>
          <w:rFonts w:hAnsi="宋体"/>
          <w:color w:val="auto"/>
          <w:sz w:val="24"/>
          <w:szCs w:val="24"/>
          <w:highlight w:val="none"/>
        </w:rPr>
      </w:pPr>
      <w:r>
        <w:rPr>
          <w:rFonts w:hint="eastAsia" w:hAnsi="宋体"/>
          <w:color w:val="auto"/>
          <w:sz w:val="24"/>
          <w:szCs w:val="24"/>
          <w:highlight w:val="none"/>
        </w:rPr>
        <w:t>5.1利害关系供应商处理。单位负责人为同一人或者存在直接控股、管理关系的不同供应商不得参加同一合同项下的政府采购活动。采购项目实行资格预审的，单位负责人为同一人或者存在直接控股、管理关系的不同供应商可以参加资格预审，但只能由供应商确定其中一家符合条件的供应商参加后续的政府采购活动，否则，其响应文件作为无效处理。</w:t>
      </w:r>
    </w:p>
    <w:p>
      <w:pPr>
        <w:pStyle w:val="27"/>
        <w:spacing w:line="360" w:lineRule="auto"/>
        <w:ind w:left="1" w:firstLine="480" w:firstLineChars="200"/>
        <w:rPr>
          <w:rFonts w:hAnsi="宋体"/>
          <w:color w:val="auto"/>
          <w:sz w:val="24"/>
          <w:szCs w:val="24"/>
          <w:highlight w:val="none"/>
        </w:rPr>
      </w:pPr>
      <w:r>
        <w:rPr>
          <w:rFonts w:hint="eastAsia" w:hAnsi="宋体"/>
          <w:color w:val="auto"/>
          <w:sz w:val="24"/>
          <w:szCs w:val="24"/>
          <w:highlight w:val="none"/>
        </w:rPr>
        <w:t>5.2利害关系授权代表处理。两家以上的供应商不得在同一合同项下的采购项目中，委托同一个自然人、同一家庭的人员、同一单位的人员作为其授权代表，否则，其响应文件作为无效处理。</w:t>
      </w:r>
    </w:p>
    <w:p>
      <w:pPr>
        <w:pStyle w:val="27"/>
        <w:spacing w:line="360" w:lineRule="auto"/>
        <w:ind w:left="1" w:firstLine="480" w:firstLineChars="200"/>
        <w:rPr>
          <w:rFonts w:hAnsi="宋体"/>
          <w:color w:val="auto"/>
          <w:sz w:val="24"/>
          <w:szCs w:val="24"/>
          <w:highlight w:val="none"/>
        </w:rPr>
      </w:pPr>
      <w:r>
        <w:rPr>
          <w:rFonts w:hint="eastAsia" w:hAnsi="宋体"/>
          <w:color w:val="auto"/>
          <w:sz w:val="24"/>
          <w:szCs w:val="24"/>
          <w:highlight w:val="none"/>
        </w:rPr>
        <w:t>5.3前期参与供应商处理。为采购项目提供整体设计、规范编制或者项目管理、监理、检测等服务的供应商，不得再参加该采购项目的其他采购活动。供应商为采购人、采购代理机构在确定采购需求、编制采购文件过程中提供咨询论证，其提供的咨询论证意见成为采购文件中规定的供应商资格条件、技术服务商务要求、评标因素和标准、政府采购合同等实质性内容条款的，视同为采购项目提供规范编制。</w:t>
      </w:r>
    </w:p>
    <w:p>
      <w:pPr>
        <w:pStyle w:val="27"/>
        <w:spacing w:line="360" w:lineRule="auto"/>
        <w:ind w:left="1" w:firstLine="480" w:firstLineChars="200"/>
        <w:rPr>
          <w:rFonts w:hAnsi="宋体"/>
          <w:color w:val="auto"/>
          <w:sz w:val="24"/>
          <w:szCs w:val="24"/>
          <w:highlight w:val="none"/>
        </w:rPr>
      </w:pPr>
      <w:r>
        <w:rPr>
          <w:rFonts w:hint="eastAsia" w:hAnsi="宋体"/>
          <w:color w:val="auto"/>
          <w:sz w:val="24"/>
          <w:szCs w:val="24"/>
          <w:highlight w:val="none"/>
        </w:rPr>
        <w:t>5.4供应商实际控制人或者中高级管理人员，同时是采购代理机构工作人员，不得参与本项目政府采购活动。</w:t>
      </w:r>
    </w:p>
    <w:p>
      <w:pPr>
        <w:pStyle w:val="27"/>
        <w:spacing w:line="360" w:lineRule="auto"/>
        <w:ind w:left="1" w:firstLine="480" w:firstLineChars="200"/>
        <w:rPr>
          <w:rFonts w:hAnsi="宋体"/>
          <w:color w:val="auto"/>
          <w:sz w:val="24"/>
          <w:szCs w:val="24"/>
          <w:highlight w:val="none"/>
        </w:rPr>
      </w:pPr>
      <w:r>
        <w:rPr>
          <w:rFonts w:hint="eastAsia" w:hAnsi="宋体"/>
          <w:color w:val="auto"/>
          <w:sz w:val="24"/>
          <w:szCs w:val="24"/>
          <w:highlight w:val="none"/>
        </w:rPr>
        <w:t>5.5同一母公司的两家以上的子公司只能组成联合体参加本项目同一合同项下的采购活动，不得以不同供应商身份同时参加本项目同一合同项下的采购活动。</w:t>
      </w:r>
    </w:p>
    <w:p>
      <w:pPr>
        <w:pStyle w:val="27"/>
        <w:spacing w:line="360" w:lineRule="auto"/>
        <w:ind w:left="1" w:firstLine="480" w:firstLineChars="200"/>
        <w:rPr>
          <w:rFonts w:hAnsi="宋体"/>
          <w:color w:val="auto"/>
          <w:sz w:val="24"/>
          <w:szCs w:val="24"/>
          <w:highlight w:val="none"/>
        </w:rPr>
      </w:pPr>
      <w:r>
        <w:rPr>
          <w:rFonts w:hint="eastAsia" w:hAnsi="宋体"/>
          <w:color w:val="auto"/>
          <w:sz w:val="24"/>
          <w:szCs w:val="24"/>
          <w:highlight w:val="none"/>
        </w:rPr>
        <w:t>5.6供应商与采购代理机构存在关联关系，或者是采购代理机构的母公司或子公司，不得参加本项目政府采购活动。</w:t>
      </w:r>
    </w:p>
    <w:p>
      <w:pPr>
        <w:pStyle w:val="27"/>
        <w:spacing w:line="360" w:lineRule="auto"/>
        <w:ind w:left="1" w:firstLine="480" w:firstLineChars="200"/>
        <w:rPr>
          <w:rFonts w:hAnsi="宋体"/>
          <w:color w:val="auto"/>
          <w:sz w:val="24"/>
          <w:szCs w:val="24"/>
          <w:highlight w:val="none"/>
        </w:rPr>
      </w:pPr>
      <w:r>
        <w:rPr>
          <w:rFonts w:hint="eastAsia" w:hAnsi="宋体"/>
          <w:color w:val="auto"/>
          <w:sz w:val="24"/>
          <w:szCs w:val="24"/>
          <w:highlight w:val="none"/>
        </w:rPr>
        <w:t>5.</w:t>
      </w:r>
      <w:r>
        <w:rPr>
          <w:rFonts w:hint="eastAsia" w:hAnsi="宋体"/>
          <w:color w:val="auto"/>
          <w:sz w:val="24"/>
          <w:szCs w:val="24"/>
          <w:highlight w:val="none"/>
          <w:lang w:val="en-US" w:eastAsia="zh-CN"/>
        </w:rPr>
        <w:t>7</w:t>
      </w:r>
      <w:r>
        <w:rPr>
          <w:rFonts w:hint="eastAsia" w:hAnsi="宋体"/>
          <w:color w:val="auto"/>
          <w:sz w:val="24"/>
          <w:szCs w:val="24"/>
          <w:highlight w:val="none"/>
        </w:rPr>
        <w:t>回避。政府采购活动中，采购人员及相关人员与供应商有下列利害关系之一的，应当回避：</w:t>
      </w:r>
    </w:p>
    <w:p>
      <w:pPr>
        <w:pStyle w:val="27"/>
        <w:spacing w:line="360" w:lineRule="auto"/>
        <w:ind w:left="1" w:firstLine="480" w:firstLineChars="200"/>
        <w:rPr>
          <w:rFonts w:hAnsi="宋体"/>
          <w:color w:val="auto"/>
          <w:sz w:val="24"/>
          <w:szCs w:val="24"/>
          <w:highlight w:val="none"/>
        </w:rPr>
      </w:pPr>
      <w:r>
        <w:rPr>
          <w:rFonts w:hint="eastAsia" w:hAnsi="宋体"/>
          <w:color w:val="auto"/>
          <w:sz w:val="24"/>
          <w:szCs w:val="24"/>
          <w:highlight w:val="none"/>
        </w:rPr>
        <w:t>（1）参加采购活动前3年内与供应商存在劳动关系；</w:t>
      </w:r>
    </w:p>
    <w:p>
      <w:pPr>
        <w:pStyle w:val="27"/>
        <w:spacing w:line="360" w:lineRule="auto"/>
        <w:ind w:left="1" w:firstLine="480" w:firstLineChars="200"/>
        <w:rPr>
          <w:rFonts w:hAnsi="宋体"/>
          <w:color w:val="auto"/>
          <w:sz w:val="24"/>
          <w:szCs w:val="24"/>
          <w:highlight w:val="none"/>
        </w:rPr>
      </w:pPr>
      <w:r>
        <w:rPr>
          <w:rFonts w:hint="eastAsia" w:hAnsi="宋体"/>
          <w:color w:val="auto"/>
          <w:sz w:val="24"/>
          <w:szCs w:val="24"/>
          <w:highlight w:val="none"/>
        </w:rPr>
        <w:t>（2）参加采购活动前3年内担任供应商的董事、监事；</w:t>
      </w:r>
    </w:p>
    <w:p>
      <w:pPr>
        <w:pStyle w:val="27"/>
        <w:spacing w:line="360" w:lineRule="auto"/>
        <w:ind w:left="1" w:firstLine="480" w:firstLineChars="200"/>
        <w:rPr>
          <w:rFonts w:hAnsi="宋体"/>
          <w:color w:val="auto"/>
          <w:sz w:val="24"/>
          <w:szCs w:val="24"/>
          <w:highlight w:val="none"/>
        </w:rPr>
      </w:pPr>
      <w:r>
        <w:rPr>
          <w:rFonts w:hint="eastAsia" w:hAnsi="宋体"/>
          <w:color w:val="auto"/>
          <w:sz w:val="24"/>
          <w:szCs w:val="24"/>
          <w:highlight w:val="none"/>
        </w:rPr>
        <w:t>（3）参加采购活动前3年内是供应商的控股股东或者实际控制人；</w:t>
      </w:r>
    </w:p>
    <w:p>
      <w:pPr>
        <w:pStyle w:val="27"/>
        <w:spacing w:line="360" w:lineRule="auto"/>
        <w:ind w:left="1" w:firstLine="480" w:firstLineChars="200"/>
        <w:rPr>
          <w:rFonts w:hAnsi="宋体"/>
          <w:color w:val="auto"/>
          <w:sz w:val="24"/>
          <w:szCs w:val="24"/>
          <w:highlight w:val="none"/>
        </w:rPr>
      </w:pPr>
      <w:r>
        <w:rPr>
          <w:rFonts w:hint="eastAsia" w:hAnsi="宋体"/>
          <w:color w:val="auto"/>
          <w:sz w:val="24"/>
          <w:szCs w:val="24"/>
          <w:highlight w:val="none"/>
        </w:rPr>
        <w:t>（4）与供应商的法定代表人或者负责人有夫妻、直系血亲、三代以内旁系血亲或者近姻亲关系；</w:t>
      </w:r>
    </w:p>
    <w:p>
      <w:pPr>
        <w:pStyle w:val="27"/>
        <w:spacing w:line="360" w:lineRule="auto"/>
        <w:ind w:left="1" w:firstLine="480" w:firstLineChars="200"/>
        <w:rPr>
          <w:rFonts w:hAnsi="宋体"/>
          <w:color w:val="auto"/>
          <w:sz w:val="24"/>
          <w:szCs w:val="24"/>
          <w:highlight w:val="none"/>
        </w:rPr>
      </w:pPr>
      <w:r>
        <w:rPr>
          <w:rFonts w:hint="eastAsia" w:hAnsi="宋体"/>
          <w:color w:val="auto"/>
          <w:sz w:val="24"/>
          <w:szCs w:val="24"/>
          <w:highlight w:val="none"/>
        </w:rPr>
        <w:t>（5）与供应商有其他可能影响政府采购活动公平、公正进行的关系。</w:t>
      </w:r>
    </w:p>
    <w:p>
      <w:pPr>
        <w:pStyle w:val="27"/>
        <w:spacing w:line="360" w:lineRule="auto"/>
        <w:ind w:left="1" w:firstLine="480" w:firstLineChars="200"/>
        <w:rPr>
          <w:rFonts w:hAnsi="宋体"/>
          <w:color w:val="auto"/>
          <w:sz w:val="24"/>
          <w:szCs w:val="24"/>
          <w:highlight w:val="none"/>
        </w:rPr>
      </w:pPr>
      <w:r>
        <w:rPr>
          <w:rFonts w:hint="eastAsia" w:hAnsi="宋体"/>
          <w:color w:val="auto"/>
          <w:sz w:val="24"/>
          <w:szCs w:val="24"/>
          <w:highlight w:val="none"/>
        </w:rPr>
        <w:t>本项目政府采购活动中需要依法回避的采购人员是指采购人内部负责采购项目的具体经办工作人员和直接分管采购项目的负责人，以及采购代理机构负责采购项目的具体经办工作人员和直接分管采购活动的负责人。本项目政府采购活动中需要依法回避的相关人员是指磋商小组成员。</w:t>
      </w:r>
    </w:p>
    <w:p>
      <w:pPr>
        <w:pStyle w:val="27"/>
        <w:spacing w:line="360" w:lineRule="auto"/>
        <w:ind w:left="1" w:firstLine="480" w:firstLineChars="200"/>
        <w:rPr>
          <w:rFonts w:hAnsi="宋体"/>
          <w:color w:val="auto"/>
          <w:sz w:val="24"/>
          <w:szCs w:val="24"/>
          <w:highlight w:val="none"/>
        </w:rPr>
      </w:pPr>
      <w:r>
        <w:rPr>
          <w:rFonts w:hint="eastAsia" w:hAnsi="宋体"/>
          <w:color w:val="auto"/>
          <w:sz w:val="24"/>
          <w:szCs w:val="24"/>
          <w:highlight w:val="none"/>
        </w:rPr>
        <w:t>供应商认为采购人员及相关人员与其他供应商有利害关系的，可以向采购代理机构书面提出回避申请，并说明理由。采购代理机构将及时询问被申请回避人员，有利害关系的被申请回避人员应当回避。</w:t>
      </w:r>
    </w:p>
    <w:p>
      <w:pPr>
        <w:rPr>
          <w:rFonts w:hAnsi="宋体"/>
          <w:b/>
          <w:color w:val="auto"/>
          <w:szCs w:val="21"/>
          <w:highlight w:val="none"/>
        </w:rPr>
      </w:pPr>
    </w:p>
    <w:p>
      <w:pPr>
        <w:pStyle w:val="6"/>
        <w:keepNext w:val="0"/>
        <w:keepLines w:val="0"/>
        <w:spacing w:before="0" w:after="0" w:line="360" w:lineRule="auto"/>
        <w:ind w:firstLine="482" w:firstLineChars="200"/>
        <w:rPr>
          <w:rFonts w:ascii="宋体" w:hAnsi="宋体"/>
          <w:color w:val="auto"/>
          <w:sz w:val="24"/>
          <w:szCs w:val="24"/>
          <w:highlight w:val="none"/>
        </w:rPr>
      </w:pPr>
      <w:r>
        <w:rPr>
          <w:rFonts w:hint="eastAsia" w:ascii="宋体" w:hAnsi="宋体"/>
          <w:color w:val="auto"/>
          <w:sz w:val="24"/>
          <w:szCs w:val="24"/>
          <w:highlight w:val="none"/>
        </w:rPr>
        <w:t>6.磋商保证金（实质性要求）</w:t>
      </w:r>
    </w:p>
    <w:p>
      <w:pPr>
        <w:spacing w:line="360" w:lineRule="auto"/>
        <w:ind w:firstLine="470" w:firstLineChars="196"/>
        <w:rPr>
          <w:rFonts w:ascii="宋体" w:hAnsi="宋体"/>
          <w:color w:val="auto"/>
          <w:sz w:val="24"/>
          <w:highlight w:val="none"/>
        </w:rPr>
      </w:pPr>
      <w:r>
        <w:rPr>
          <w:rFonts w:hint="eastAsia" w:ascii="宋体" w:hAnsi="宋体"/>
          <w:color w:val="auto"/>
          <w:sz w:val="24"/>
          <w:highlight w:val="none"/>
        </w:rPr>
        <w:t>6.1供应商必须以人民币为计量单位提交磋商文件规定数额的磋商保证金。联合体磋商的，可以由联合体的一方或者共同提交磋商保证金，以一方名义提交磋商保证金的，对联合体各方均具有约束力。</w:t>
      </w:r>
    </w:p>
    <w:p>
      <w:pPr>
        <w:spacing w:line="360" w:lineRule="auto"/>
        <w:ind w:firstLine="470" w:firstLineChars="196"/>
        <w:rPr>
          <w:rFonts w:ascii="宋体" w:hAnsi="宋体"/>
          <w:color w:val="auto"/>
          <w:sz w:val="24"/>
          <w:highlight w:val="none"/>
        </w:rPr>
      </w:pPr>
      <w:r>
        <w:rPr>
          <w:rFonts w:hint="eastAsia" w:ascii="宋体" w:hAnsi="宋体"/>
          <w:color w:val="auto"/>
          <w:sz w:val="24"/>
          <w:highlight w:val="none"/>
        </w:rPr>
        <w:t>6.2未按磋商文件要求在规定时间前交纳规定数额磋商保证金的响应文件无效。</w:t>
      </w:r>
    </w:p>
    <w:p>
      <w:pPr>
        <w:spacing w:line="360" w:lineRule="auto"/>
        <w:ind w:firstLine="470" w:firstLineChars="196"/>
        <w:rPr>
          <w:rFonts w:ascii="宋体" w:hAnsi="宋体"/>
          <w:color w:val="auto"/>
          <w:sz w:val="24"/>
          <w:highlight w:val="none"/>
        </w:rPr>
      </w:pPr>
      <w:r>
        <w:rPr>
          <w:rFonts w:hint="eastAsia" w:ascii="宋体" w:hAnsi="宋体"/>
          <w:color w:val="auto"/>
          <w:sz w:val="24"/>
          <w:highlight w:val="none"/>
        </w:rPr>
        <w:t>6.3未成交供应商的磋商保证金，将在成交通知书发出后五个工作日内全额退还。成交供应商的磋商保证金，在合同签订生效后五个工作日内全额退还。（注：①因供应商自身原因造成的保证金延迟退还，采购代理机构不承担相应责任；②供应商因涉嫌违法违规，按照规定应当不予退还保证金的，有关部门处理认定违法违规行为期间不计入退还保证金期限内。）</w:t>
      </w:r>
    </w:p>
    <w:p>
      <w:pPr>
        <w:spacing w:line="360" w:lineRule="auto"/>
        <w:ind w:firstLine="470" w:firstLineChars="196"/>
        <w:rPr>
          <w:rFonts w:ascii="宋体" w:hAnsi="宋体"/>
          <w:color w:val="auto"/>
          <w:sz w:val="24"/>
          <w:highlight w:val="none"/>
        </w:rPr>
      </w:pPr>
      <w:r>
        <w:rPr>
          <w:rFonts w:hint="eastAsia" w:ascii="宋体" w:hAnsi="宋体"/>
          <w:color w:val="auto"/>
          <w:sz w:val="24"/>
          <w:highlight w:val="none"/>
        </w:rPr>
        <w:t>6.4发生下列情形之一的，采购代理机构将不予退还磋商保证金：</w:t>
      </w:r>
    </w:p>
    <w:p>
      <w:pPr>
        <w:spacing w:line="360" w:lineRule="auto"/>
        <w:ind w:firstLine="470" w:firstLineChars="196"/>
        <w:rPr>
          <w:rFonts w:ascii="宋体" w:hAnsi="宋体"/>
          <w:color w:val="auto"/>
          <w:sz w:val="24"/>
          <w:highlight w:val="none"/>
        </w:rPr>
      </w:pPr>
      <w:r>
        <w:rPr>
          <w:rFonts w:hint="eastAsia" w:ascii="宋体" w:hAnsi="宋体"/>
          <w:color w:val="auto"/>
          <w:sz w:val="24"/>
          <w:highlight w:val="none"/>
        </w:rPr>
        <w:t>（1）在磋商文件规定的递交响应文件截止时间后撤回响应文件的；</w:t>
      </w:r>
    </w:p>
    <w:p>
      <w:pPr>
        <w:spacing w:line="360" w:lineRule="auto"/>
        <w:ind w:firstLine="470" w:firstLineChars="196"/>
        <w:rPr>
          <w:rFonts w:ascii="宋体" w:hAnsi="宋体"/>
          <w:color w:val="auto"/>
          <w:sz w:val="24"/>
          <w:highlight w:val="none"/>
        </w:rPr>
      </w:pPr>
      <w:r>
        <w:rPr>
          <w:rFonts w:hint="eastAsia" w:ascii="宋体" w:hAnsi="宋体"/>
          <w:color w:val="auto"/>
          <w:sz w:val="24"/>
          <w:highlight w:val="none"/>
        </w:rPr>
        <w:t>（2）在采购人确定成交供应商之前放弃成交候选资格的；</w:t>
      </w:r>
    </w:p>
    <w:p>
      <w:pPr>
        <w:spacing w:line="360" w:lineRule="auto"/>
        <w:ind w:firstLine="470" w:firstLineChars="196"/>
        <w:rPr>
          <w:rFonts w:ascii="宋体" w:hAnsi="宋体"/>
          <w:color w:val="auto"/>
          <w:sz w:val="24"/>
          <w:highlight w:val="none"/>
        </w:rPr>
      </w:pPr>
      <w:r>
        <w:rPr>
          <w:rFonts w:hint="eastAsia" w:ascii="宋体" w:hAnsi="宋体"/>
          <w:color w:val="auto"/>
          <w:sz w:val="24"/>
          <w:highlight w:val="none"/>
        </w:rPr>
        <w:t>（3）成交后放弃、不领取或者不接收成交通知书的；</w:t>
      </w:r>
    </w:p>
    <w:p>
      <w:pPr>
        <w:spacing w:line="360" w:lineRule="auto"/>
        <w:ind w:firstLine="470" w:firstLineChars="196"/>
        <w:rPr>
          <w:rFonts w:ascii="宋体" w:hAnsi="宋体"/>
          <w:color w:val="auto"/>
          <w:sz w:val="24"/>
          <w:highlight w:val="none"/>
        </w:rPr>
      </w:pPr>
      <w:r>
        <w:rPr>
          <w:rFonts w:hint="eastAsia" w:ascii="宋体" w:hAnsi="宋体"/>
          <w:color w:val="auto"/>
          <w:sz w:val="24"/>
          <w:highlight w:val="none"/>
        </w:rPr>
        <w:t>（4）由于成交供应商的原因未能按照磋商文件的规定与采购人签订合同的；</w:t>
      </w:r>
    </w:p>
    <w:p>
      <w:pPr>
        <w:spacing w:line="360" w:lineRule="auto"/>
        <w:ind w:firstLine="470" w:firstLineChars="196"/>
        <w:rPr>
          <w:rFonts w:ascii="宋体" w:hAnsi="宋体"/>
          <w:color w:val="auto"/>
          <w:sz w:val="24"/>
          <w:highlight w:val="none"/>
        </w:rPr>
      </w:pPr>
      <w:r>
        <w:rPr>
          <w:rFonts w:hint="eastAsia" w:ascii="宋体" w:hAnsi="宋体"/>
          <w:color w:val="auto"/>
          <w:sz w:val="24"/>
          <w:highlight w:val="none"/>
        </w:rPr>
        <w:t>（5）由于成交供应商的原因未能按照磋商文件的规定交纳履约保证金的；</w:t>
      </w:r>
    </w:p>
    <w:p>
      <w:pPr>
        <w:spacing w:line="360" w:lineRule="auto"/>
        <w:ind w:firstLine="470" w:firstLineChars="196"/>
        <w:rPr>
          <w:rFonts w:ascii="宋体" w:hAnsi="宋体"/>
          <w:color w:val="auto"/>
          <w:sz w:val="24"/>
          <w:highlight w:val="none"/>
        </w:rPr>
      </w:pPr>
      <w:r>
        <w:rPr>
          <w:rFonts w:hint="eastAsia" w:ascii="宋体" w:hAnsi="宋体"/>
          <w:color w:val="auto"/>
          <w:sz w:val="24"/>
          <w:highlight w:val="none"/>
        </w:rPr>
        <w:t>（6）供应商在政府采购活动中提供虚假材料的；</w:t>
      </w:r>
    </w:p>
    <w:p>
      <w:pPr>
        <w:spacing w:line="360" w:lineRule="auto"/>
        <w:ind w:firstLine="470" w:firstLineChars="196"/>
        <w:rPr>
          <w:rFonts w:ascii="宋体" w:hAnsi="宋体"/>
          <w:color w:val="auto"/>
          <w:sz w:val="24"/>
          <w:highlight w:val="none"/>
        </w:rPr>
      </w:pPr>
      <w:r>
        <w:rPr>
          <w:rFonts w:hint="eastAsia" w:ascii="宋体" w:hAnsi="宋体"/>
          <w:color w:val="auto"/>
          <w:sz w:val="24"/>
          <w:highlight w:val="none"/>
        </w:rPr>
        <w:t>（7）报价有效期内，供应商在政府采购活动中有违法、违规、违纪行为。</w:t>
      </w:r>
    </w:p>
    <w:p>
      <w:pPr>
        <w:rPr>
          <w:rFonts w:ascii="宋体" w:hAnsi="宋体"/>
          <w:color w:val="auto"/>
          <w:sz w:val="24"/>
          <w:highlight w:val="none"/>
        </w:rPr>
      </w:pPr>
    </w:p>
    <w:p>
      <w:pPr>
        <w:pStyle w:val="6"/>
        <w:keepNext w:val="0"/>
        <w:keepLines w:val="0"/>
        <w:spacing w:before="0" w:after="0" w:line="360" w:lineRule="auto"/>
        <w:ind w:firstLine="482" w:firstLineChars="200"/>
        <w:rPr>
          <w:rFonts w:ascii="宋体" w:hAnsi="宋体"/>
          <w:color w:val="auto"/>
          <w:sz w:val="24"/>
          <w:szCs w:val="24"/>
          <w:highlight w:val="none"/>
        </w:rPr>
      </w:pPr>
      <w:r>
        <w:rPr>
          <w:rFonts w:hint="eastAsia" w:ascii="宋体" w:hAnsi="宋体"/>
          <w:color w:val="auto"/>
          <w:sz w:val="24"/>
          <w:szCs w:val="24"/>
          <w:highlight w:val="none"/>
        </w:rPr>
        <w:t>7.响应文件有效期（实质性要求）</w:t>
      </w:r>
    </w:p>
    <w:p>
      <w:pPr>
        <w:spacing w:line="360" w:lineRule="auto"/>
        <w:ind w:firstLine="470" w:firstLineChars="196"/>
        <w:rPr>
          <w:rFonts w:ascii="宋体" w:hAnsi="宋体"/>
          <w:color w:val="auto"/>
          <w:sz w:val="24"/>
          <w:highlight w:val="none"/>
        </w:rPr>
      </w:pPr>
      <w:r>
        <w:rPr>
          <w:rFonts w:hint="eastAsia" w:ascii="宋体" w:hAnsi="宋体"/>
          <w:color w:val="auto"/>
          <w:sz w:val="24"/>
          <w:highlight w:val="none"/>
        </w:rPr>
        <w:t>本项目响应文件有效期为递交磋商响应文件截止之日起90天。供应商响应文件中必须载明响应文件有效期，响应文件中载明的响应文件有效期可以长于磋商文件规定的期限，但不得短于磋商文件规定的期限。否则，其响应文件将作为无效处理。</w:t>
      </w:r>
    </w:p>
    <w:p>
      <w:pPr>
        <w:rPr>
          <w:rFonts w:ascii="宋体" w:hAnsi="宋体"/>
          <w:b/>
          <w:color w:val="auto"/>
          <w:sz w:val="24"/>
          <w:highlight w:val="none"/>
        </w:rPr>
      </w:pPr>
    </w:p>
    <w:p>
      <w:pPr>
        <w:pStyle w:val="6"/>
        <w:keepNext w:val="0"/>
        <w:keepLines w:val="0"/>
        <w:spacing w:before="0" w:after="0" w:line="360" w:lineRule="auto"/>
        <w:ind w:firstLine="482" w:firstLineChars="200"/>
        <w:rPr>
          <w:rFonts w:ascii="宋体" w:hAnsi="宋体"/>
          <w:color w:val="auto"/>
          <w:sz w:val="24"/>
          <w:szCs w:val="24"/>
          <w:highlight w:val="none"/>
        </w:rPr>
      </w:pPr>
      <w:r>
        <w:rPr>
          <w:rFonts w:hint="eastAsia" w:ascii="宋体" w:hAnsi="宋体"/>
          <w:color w:val="auto"/>
          <w:sz w:val="24"/>
          <w:szCs w:val="24"/>
          <w:highlight w:val="none"/>
        </w:rPr>
        <w:t>8.联合体竞争性磋商（实质性要求）</w:t>
      </w:r>
    </w:p>
    <w:p>
      <w:pPr>
        <w:spacing w:line="360" w:lineRule="auto"/>
        <w:ind w:firstLine="470" w:firstLineChars="196"/>
        <w:rPr>
          <w:rFonts w:ascii="宋体" w:hAnsi="宋体"/>
          <w:color w:val="auto"/>
          <w:sz w:val="24"/>
          <w:highlight w:val="none"/>
        </w:rPr>
      </w:pPr>
      <w:r>
        <w:rPr>
          <w:rFonts w:hint="eastAsia" w:ascii="宋体" w:hAnsi="宋体"/>
          <w:color w:val="auto"/>
          <w:sz w:val="24"/>
          <w:highlight w:val="none"/>
        </w:rPr>
        <w:t>本项目不接受联合体参与采购活动。</w:t>
      </w:r>
    </w:p>
    <w:p>
      <w:pPr>
        <w:rPr>
          <w:color w:val="auto"/>
          <w:highlight w:val="none"/>
        </w:rPr>
      </w:pPr>
    </w:p>
    <w:p>
      <w:pPr>
        <w:pStyle w:val="6"/>
        <w:keepNext w:val="0"/>
        <w:keepLines w:val="0"/>
        <w:spacing w:before="0" w:after="0" w:line="360" w:lineRule="auto"/>
        <w:ind w:firstLine="482" w:firstLineChars="200"/>
        <w:rPr>
          <w:rFonts w:ascii="宋体" w:hAnsi="宋体"/>
          <w:color w:val="auto"/>
          <w:sz w:val="24"/>
          <w:szCs w:val="24"/>
          <w:highlight w:val="none"/>
        </w:rPr>
      </w:pPr>
      <w:r>
        <w:rPr>
          <w:rFonts w:hint="eastAsia" w:ascii="宋体" w:hAnsi="宋体"/>
          <w:color w:val="auto"/>
          <w:sz w:val="24"/>
          <w:szCs w:val="24"/>
          <w:highlight w:val="none"/>
        </w:rPr>
        <w:t>9.知识产权（实质性要求）</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9.1供应商应保证在本项目中使用的任何产品和服务（包括部分使用），不会产生因第三方提出侵犯其专利权、商标权或其它知识产权而引起的法律和经济纠纷，如因专利权、商标权或其它知识产权而引起法律和经济纠纷，由供应商承担所有相关责任。</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9.2除非磋商文件特别规定，采购人享有本项目实施过程中产生的知识成果及知识产权。</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9</w:t>
      </w:r>
      <w:r>
        <w:rPr>
          <w:rFonts w:ascii="宋体" w:hAnsi="宋体"/>
          <w:color w:val="auto"/>
          <w:sz w:val="24"/>
          <w:highlight w:val="none"/>
        </w:rPr>
        <w:t>.3</w:t>
      </w:r>
      <w:r>
        <w:rPr>
          <w:rFonts w:hint="eastAsia" w:ascii="宋体" w:hAnsi="宋体"/>
          <w:color w:val="auto"/>
          <w:sz w:val="24"/>
          <w:highlight w:val="none"/>
        </w:rPr>
        <w:t>供应商将在采购项目实施过程中采用自有或者第三方知识成果的，应当在响应文件中载明，并提供相关知识产权证明文件。使用该知识成果后，供应商需提供开发接口和开发手册等技术资料，并承诺提供无限期支持，采购人享有使用权（含采购人委托第三方在该项目后续开发的使用权）。</w:t>
      </w:r>
    </w:p>
    <w:p>
      <w:pPr>
        <w:spacing w:line="360" w:lineRule="auto"/>
        <w:ind w:firstLine="460" w:firstLineChars="192"/>
        <w:rPr>
          <w:rFonts w:ascii="宋体" w:hAnsi="宋体"/>
          <w:color w:val="auto"/>
          <w:sz w:val="24"/>
          <w:highlight w:val="none"/>
        </w:rPr>
      </w:pPr>
      <w:r>
        <w:rPr>
          <w:rFonts w:hint="eastAsia" w:ascii="宋体" w:hAnsi="宋体"/>
          <w:color w:val="auto"/>
          <w:sz w:val="24"/>
          <w:highlight w:val="none"/>
        </w:rPr>
        <w:t>9</w:t>
      </w:r>
      <w:r>
        <w:rPr>
          <w:rFonts w:ascii="宋体" w:hAnsi="宋体"/>
          <w:color w:val="auto"/>
          <w:sz w:val="24"/>
          <w:highlight w:val="none"/>
        </w:rPr>
        <w:t>.4</w:t>
      </w:r>
      <w:r>
        <w:rPr>
          <w:rFonts w:hint="eastAsia" w:ascii="宋体" w:hAnsi="宋体"/>
          <w:color w:val="auto"/>
          <w:sz w:val="24"/>
          <w:highlight w:val="none"/>
        </w:rPr>
        <w:t xml:space="preserve">如采用供应商所不拥有的知识产权，则在报价中必须包括合法获取该知识产权的相关费用。 </w:t>
      </w:r>
    </w:p>
    <w:p>
      <w:pPr>
        <w:pStyle w:val="5"/>
        <w:spacing w:before="0" w:after="0" w:line="360" w:lineRule="auto"/>
        <w:jc w:val="center"/>
        <w:rPr>
          <w:color w:val="auto"/>
          <w:highlight w:val="none"/>
        </w:rPr>
      </w:pPr>
      <w:bookmarkStart w:id="34" w:name="_Toc77400779"/>
      <w:bookmarkStart w:id="35" w:name="_Toc7502_WPSOffice_Level2"/>
      <w:bookmarkStart w:id="36" w:name="_Toc89075875"/>
      <w:bookmarkStart w:id="37" w:name="_Toc183682346"/>
      <w:bookmarkStart w:id="38" w:name="_Toc217446038"/>
      <w:bookmarkStart w:id="39" w:name="_Toc183582209"/>
      <w:r>
        <w:rPr>
          <w:rFonts w:hint="eastAsia"/>
          <w:color w:val="auto"/>
          <w:highlight w:val="none"/>
        </w:rPr>
        <w:t>三、磋商文件</w:t>
      </w:r>
      <w:bookmarkEnd w:id="34"/>
      <w:bookmarkEnd w:id="35"/>
      <w:bookmarkEnd w:id="36"/>
      <w:bookmarkEnd w:id="37"/>
      <w:bookmarkEnd w:id="38"/>
      <w:bookmarkEnd w:id="39"/>
    </w:p>
    <w:p>
      <w:pPr>
        <w:pStyle w:val="6"/>
        <w:keepNext w:val="0"/>
        <w:keepLines w:val="0"/>
        <w:spacing w:before="0" w:after="0" w:line="360" w:lineRule="auto"/>
        <w:ind w:firstLine="482" w:firstLineChars="200"/>
        <w:rPr>
          <w:rFonts w:ascii="宋体" w:hAnsi="宋体"/>
          <w:color w:val="auto"/>
          <w:sz w:val="24"/>
          <w:szCs w:val="24"/>
          <w:highlight w:val="none"/>
        </w:rPr>
      </w:pPr>
      <w:bookmarkStart w:id="40" w:name="_Toc183682347"/>
      <w:bookmarkStart w:id="41" w:name="_Toc217446039"/>
      <w:bookmarkStart w:id="42" w:name="_Toc183582210"/>
      <w:r>
        <w:rPr>
          <w:rFonts w:hint="eastAsia" w:ascii="宋体" w:hAnsi="宋体"/>
          <w:color w:val="auto"/>
          <w:sz w:val="24"/>
          <w:szCs w:val="24"/>
          <w:highlight w:val="none"/>
        </w:rPr>
        <w:t>10.磋商文件的构成</w:t>
      </w:r>
      <w:bookmarkEnd w:id="40"/>
      <w:bookmarkEnd w:id="41"/>
      <w:bookmarkEnd w:id="42"/>
      <w:r>
        <w:rPr>
          <w:rFonts w:hint="eastAsia" w:ascii="宋体" w:hAnsi="宋体"/>
          <w:color w:val="auto"/>
          <w:sz w:val="24"/>
          <w:szCs w:val="24"/>
          <w:highlight w:val="none"/>
        </w:rPr>
        <w:t>（实质性要求）</w:t>
      </w:r>
    </w:p>
    <w:p>
      <w:pPr>
        <w:tabs>
          <w:tab w:val="left" w:pos="720"/>
        </w:tabs>
        <w:spacing w:line="360" w:lineRule="auto"/>
        <w:ind w:firstLine="480" w:firstLineChars="200"/>
        <w:rPr>
          <w:rFonts w:ascii="宋体" w:hAnsi="宋体"/>
          <w:color w:val="auto"/>
          <w:sz w:val="24"/>
          <w:highlight w:val="none"/>
        </w:rPr>
      </w:pPr>
      <w:r>
        <w:rPr>
          <w:rFonts w:hint="eastAsia" w:ascii="宋体" w:hAnsi="宋体"/>
          <w:color w:val="auto"/>
          <w:sz w:val="24"/>
          <w:highlight w:val="none"/>
        </w:rPr>
        <w:t>10</w:t>
      </w:r>
      <w:r>
        <w:rPr>
          <w:rFonts w:ascii="宋体" w:hAnsi="宋体"/>
          <w:b/>
          <w:bCs/>
          <w:color w:val="auto"/>
          <w:sz w:val="24"/>
          <w:highlight w:val="none"/>
        </w:rPr>
        <w:t>.</w:t>
      </w:r>
      <w:r>
        <w:rPr>
          <w:rFonts w:hint="eastAsia" w:ascii="宋体" w:hAnsi="宋体"/>
          <w:color w:val="auto"/>
          <w:sz w:val="24"/>
          <w:highlight w:val="none"/>
        </w:rPr>
        <w:t>1磋商文件是供应商准备响应文件和参加磋商的依据，同时也是磋商的重要依据。磋商文件用以阐明磋商项目所需的资质、技术、服务及报价等要求、磋商程序、有关规定和注意事项以及合同主要条款等。</w:t>
      </w:r>
    </w:p>
    <w:p>
      <w:pPr>
        <w:tabs>
          <w:tab w:val="left" w:pos="7665"/>
        </w:tabs>
        <w:spacing w:line="360" w:lineRule="auto"/>
        <w:ind w:firstLine="480" w:firstLineChars="200"/>
        <w:rPr>
          <w:rFonts w:ascii="宋体" w:hAnsi="宋体"/>
          <w:color w:val="auto"/>
          <w:sz w:val="24"/>
          <w:highlight w:val="none"/>
        </w:rPr>
      </w:pPr>
      <w:r>
        <w:rPr>
          <w:rFonts w:hint="eastAsia" w:ascii="宋体" w:hAnsi="宋体"/>
          <w:color w:val="auto"/>
          <w:sz w:val="24"/>
          <w:highlight w:val="none"/>
        </w:rPr>
        <w:t>10</w:t>
      </w:r>
      <w:r>
        <w:rPr>
          <w:rFonts w:hint="eastAsia" w:ascii="宋体" w:hAnsi="宋体"/>
          <w:b/>
          <w:bCs/>
          <w:color w:val="auto"/>
          <w:sz w:val="24"/>
          <w:highlight w:val="none"/>
        </w:rPr>
        <w:t>.</w:t>
      </w:r>
      <w:r>
        <w:rPr>
          <w:rFonts w:hint="eastAsia" w:ascii="宋体" w:hAnsi="宋体"/>
          <w:color w:val="auto"/>
          <w:sz w:val="24"/>
          <w:highlight w:val="none"/>
        </w:rPr>
        <w:t>2供应商应认真阅读和充分理解磋商文件中所有的事项、格式条款和规范要求。供应商应详细阅读磋商文件的全部内容，按照磋商文件的要求提供响应文件，并保证所提供的全部资料的真实性和有效性，一经发现有虚假行为的，将取消其参加磋商或成交资格，并承担相应的法律责任。</w:t>
      </w:r>
    </w:p>
    <w:p>
      <w:pPr>
        <w:rPr>
          <w:rFonts w:ascii="宋体" w:hAnsi="宋体"/>
          <w:color w:val="auto"/>
          <w:sz w:val="24"/>
          <w:highlight w:val="none"/>
        </w:rPr>
      </w:pPr>
      <w:bookmarkStart w:id="43" w:name="_Toc183582211"/>
      <w:bookmarkStart w:id="44" w:name="_Toc183682348"/>
      <w:bookmarkStart w:id="45" w:name="_Toc217446040"/>
    </w:p>
    <w:p>
      <w:pPr>
        <w:pStyle w:val="6"/>
        <w:keepNext w:val="0"/>
        <w:keepLines w:val="0"/>
        <w:spacing w:before="0" w:after="0" w:line="360" w:lineRule="auto"/>
        <w:ind w:firstLine="482" w:firstLineChars="200"/>
        <w:rPr>
          <w:rFonts w:ascii="宋体" w:hAnsi="宋体"/>
          <w:color w:val="auto"/>
          <w:sz w:val="24"/>
          <w:szCs w:val="24"/>
          <w:highlight w:val="none"/>
        </w:rPr>
      </w:pPr>
      <w:r>
        <w:rPr>
          <w:rFonts w:hint="eastAsia" w:ascii="宋体" w:hAnsi="宋体"/>
          <w:color w:val="auto"/>
          <w:sz w:val="24"/>
          <w:szCs w:val="24"/>
          <w:highlight w:val="none"/>
        </w:rPr>
        <w:t>11.磋商文件的澄清</w:t>
      </w:r>
      <w:bookmarkEnd w:id="43"/>
      <w:bookmarkEnd w:id="44"/>
      <w:r>
        <w:rPr>
          <w:rFonts w:hint="eastAsia" w:ascii="宋体" w:hAnsi="宋体"/>
          <w:color w:val="auto"/>
          <w:sz w:val="24"/>
          <w:szCs w:val="24"/>
          <w:highlight w:val="none"/>
        </w:rPr>
        <w:t>和修改</w:t>
      </w:r>
      <w:bookmarkEnd w:id="45"/>
    </w:p>
    <w:p>
      <w:pPr>
        <w:tabs>
          <w:tab w:val="left" w:pos="720"/>
        </w:tabs>
        <w:spacing w:line="360" w:lineRule="auto"/>
        <w:ind w:firstLine="480" w:firstLineChars="200"/>
        <w:rPr>
          <w:rFonts w:ascii="宋体" w:hAnsi="宋体"/>
          <w:color w:val="auto"/>
          <w:sz w:val="24"/>
          <w:highlight w:val="none"/>
        </w:rPr>
      </w:pPr>
      <w:r>
        <w:rPr>
          <w:rFonts w:hint="eastAsia" w:ascii="宋体" w:hAnsi="宋体"/>
          <w:color w:val="auto"/>
          <w:sz w:val="24"/>
          <w:highlight w:val="none"/>
        </w:rPr>
        <w:t>11.1在递交响应文件截止时间前，采购人、采购代理机构可以对磋商文件进行澄清或者修改。</w:t>
      </w:r>
    </w:p>
    <w:p>
      <w:pPr>
        <w:tabs>
          <w:tab w:val="left" w:pos="720"/>
        </w:tabs>
        <w:spacing w:line="360" w:lineRule="auto"/>
        <w:ind w:firstLine="480" w:firstLineChars="200"/>
        <w:rPr>
          <w:rFonts w:ascii="宋体" w:hAnsi="宋体"/>
          <w:color w:val="auto"/>
          <w:sz w:val="24"/>
          <w:highlight w:val="none"/>
        </w:rPr>
      </w:pPr>
      <w:r>
        <w:rPr>
          <w:rFonts w:hint="eastAsia" w:ascii="宋体" w:hAnsi="宋体"/>
          <w:color w:val="auto"/>
          <w:sz w:val="24"/>
          <w:highlight w:val="none"/>
        </w:rPr>
        <w:t>11.2采购代理机构对已发出的磋商文件进行澄清或者修改，应当以书面形式将澄清或者修改的内容通知所有购买了磋商文件的供应商，同时在</w:t>
      </w:r>
      <w:r>
        <w:rPr>
          <w:rFonts w:hint="eastAsia" w:ascii="宋体" w:hAnsi="宋体"/>
          <w:color w:val="auto"/>
          <w:sz w:val="24"/>
          <w:highlight w:val="none"/>
          <w:lang w:eastAsia="zh-CN"/>
        </w:rPr>
        <w:t>成都蒙彼利埃小学门户网站</w:t>
      </w:r>
      <w:r>
        <w:rPr>
          <w:rFonts w:hint="eastAsia" w:ascii="宋体" w:hAnsi="宋体"/>
          <w:color w:val="auto"/>
          <w:sz w:val="24"/>
          <w:highlight w:val="none"/>
        </w:rPr>
        <w:t>上发布更正公告。该澄清或者修改的内容为磋商文件的组成部分，澄清或者修改的内容可能影响响应文件编制的，采购人或者采购代理机构发布公告并书面通知供应商的时间，应当在</w:t>
      </w:r>
      <w:r>
        <w:rPr>
          <w:rFonts w:hint="eastAsia" w:ascii="宋体" w:hAnsi="宋体" w:cs="宋体"/>
          <w:color w:val="auto"/>
          <w:sz w:val="24"/>
          <w:highlight w:val="none"/>
        </w:rPr>
        <w:t>提交</w:t>
      </w:r>
      <w:r>
        <w:rPr>
          <w:rFonts w:hint="eastAsia" w:ascii="宋体" w:hAnsi="宋体"/>
          <w:color w:val="auto"/>
          <w:sz w:val="24"/>
          <w:highlight w:val="none"/>
        </w:rPr>
        <w:t>首次响应文件截</w:t>
      </w:r>
      <w:r>
        <w:rPr>
          <w:rFonts w:hint="eastAsia" w:ascii="宋体" w:hAnsi="宋体" w:cs="宋体"/>
          <w:color w:val="auto"/>
          <w:sz w:val="24"/>
          <w:highlight w:val="none"/>
        </w:rPr>
        <w:t>止之日起5个工作日前</w:t>
      </w:r>
      <w:r>
        <w:rPr>
          <w:rFonts w:hint="eastAsia" w:ascii="宋体" w:hAnsi="宋体"/>
          <w:color w:val="auto"/>
          <w:sz w:val="24"/>
          <w:highlight w:val="none"/>
        </w:rPr>
        <w:t>；不足上述时间的，应当顺延递交响应文件的截止时间。</w:t>
      </w:r>
    </w:p>
    <w:p>
      <w:pPr>
        <w:tabs>
          <w:tab w:val="left" w:pos="720"/>
        </w:tabs>
        <w:spacing w:line="360" w:lineRule="auto"/>
        <w:ind w:firstLine="480" w:firstLineChars="200"/>
        <w:rPr>
          <w:rFonts w:ascii="宋体" w:hAnsi="宋体"/>
          <w:color w:val="auto"/>
          <w:sz w:val="24"/>
          <w:highlight w:val="none"/>
        </w:rPr>
      </w:pPr>
      <w:r>
        <w:rPr>
          <w:rFonts w:hint="eastAsia" w:ascii="宋体" w:hAnsi="宋体"/>
          <w:color w:val="auto"/>
          <w:sz w:val="24"/>
          <w:highlight w:val="none"/>
        </w:rPr>
        <w:t>11.3供应商认为采购代理机构需要对磋商文件进行澄清或者修改的，可以在首次响应文件截止之日起3日前以书面形式向采购代理机构提出申请，由采购代理机构决定是否采纳供应商的申请事项。</w:t>
      </w:r>
    </w:p>
    <w:p>
      <w:pPr>
        <w:rPr>
          <w:rFonts w:ascii="宋体" w:hAnsi="宋体"/>
          <w:color w:val="auto"/>
          <w:szCs w:val="21"/>
          <w:highlight w:val="none"/>
        </w:rPr>
      </w:pPr>
    </w:p>
    <w:p>
      <w:pPr>
        <w:pStyle w:val="6"/>
        <w:keepNext w:val="0"/>
        <w:keepLines w:val="0"/>
        <w:spacing w:before="0" w:after="0" w:line="360" w:lineRule="auto"/>
        <w:ind w:firstLine="482" w:firstLineChars="200"/>
        <w:rPr>
          <w:rFonts w:ascii="宋体" w:hAnsi="宋体"/>
          <w:color w:val="auto"/>
          <w:sz w:val="24"/>
          <w:szCs w:val="24"/>
          <w:highlight w:val="none"/>
        </w:rPr>
      </w:pPr>
      <w:bookmarkStart w:id="46" w:name="_Toc217446041"/>
      <w:bookmarkStart w:id="47" w:name="_Toc208848971"/>
      <w:r>
        <w:rPr>
          <w:rFonts w:hint="eastAsia" w:ascii="宋体" w:hAnsi="宋体"/>
          <w:color w:val="auto"/>
          <w:sz w:val="24"/>
          <w:szCs w:val="24"/>
          <w:highlight w:val="none"/>
        </w:rPr>
        <w:t>12.答疑会和现场考察</w:t>
      </w:r>
      <w:bookmarkEnd w:id="46"/>
      <w:bookmarkEnd w:id="47"/>
    </w:p>
    <w:p>
      <w:pPr>
        <w:tabs>
          <w:tab w:val="left" w:pos="720"/>
        </w:tabs>
        <w:spacing w:line="360" w:lineRule="auto"/>
        <w:ind w:firstLine="480" w:firstLineChars="200"/>
        <w:rPr>
          <w:rFonts w:ascii="宋体" w:hAnsi="宋体"/>
          <w:color w:val="auto"/>
          <w:sz w:val="24"/>
          <w:highlight w:val="none"/>
        </w:rPr>
      </w:pPr>
      <w:bookmarkStart w:id="48" w:name="_Toc217446042"/>
      <w:bookmarkStart w:id="49" w:name="_Toc77400780"/>
      <w:bookmarkStart w:id="50" w:name="_Toc183682351"/>
      <w:bookmarkStart w:id="51" w:name="_Toc89075876"/>
      <w:bookmarkStart w:id="52" w:name="_Toc183582214"/>
      <w:r>
        <w:rPr>
          <w:rFonts w:hint="eastAsia" w:ascii="宋体" w:hAnsi="宋体"/>
          <w:color w:val="auto"/>
          <w:sz w:val="24"/>
          <w:highlight w:val="none"/>
        </w:rPr>
        <w:t>本项目不举办答疑会和现场考察,由供应商自行现场考察。</w:t>
      </w:r>
    </w:p>
    <w:p>
      <w:pPr>
        <w:pStyle w:val="5"/>
        <w:spacing w:before="0" w:after="0" w:line="360" w:lineRule="auto"/>
        <w:jc w:val="center"/>
        <w:rPr>
          <w:color w:val="auto"/>
          <w:highlight w:val="none"/>
        </w:rPr>
      </w:pPr>
      <w:bookmarkStart w:id="53" w:name="_Toc3317_WPSOffice_Level2"/>
      <w:r>
        <w:rPr>
          <w:rFonts w:hint="eastAsia"/>
          <w:color w:val="auto"/>
          <w:highlight w:val="none"/>
        </w:rPr>
        <w:t>四、响应文件</w:t>
      </w:r>
      <w:bookmarkEnd w:id="48"/>
      <w:bookmarkEnd w:id="49"/>
      <w:bookmarkEnd w:id="50"/>
      <w:bookmarkEnd w:id="51"/>
      <w:bookmarkEnd w:id="52"/>
      <w:bookmarkEnd w:id="53"/>
    </w:p>
    <w:p>
      <w:pPr>
        <w:pStyle w:val="6"/>
        <w:keepNext w:val="0"/>
        <w:keepLines w:val="0"/>
        <w:spacing w:before="0" w:after="0" w:line="360" w:lineRule="auto"/>
        <w:ind w:firstLine="482" w:firstLineChars="200"/>
        <w:rPr>
          <w:rFonts w:ascii="宋体" w:hAnsi="宋体"/>
          <w:color w:val="auto"/>
          <w:sz w:val="24"/>
          <w:szCs w:val="24"/>
          <w:highlight w:val="none"/>
        </w:rPr>
      </w:pPr>
      <w:bookmarkStart w:id="54" w:name="_Toc183582215"/>
      <w:bookmarkStart w:id="55" w:name="_Toc217446043"/>
      <w:bookmarkStart w:id="56" w:name="_Toc183682352"/>
      <w:r>
        <w:rPr>
          <w:rFonts w:hint="eastAsia" w:ascii="宋体" w:hAnsi="宋体"/>
          <w:color w:val="auto"/>
          <w:sz w:val="24"/>
          <w:szCs w:val="24"/>
          <w:highlight w:val="none"/>
        </w:rPr>
        <w:t>13.响应文件的组成（实质性要求）</w:t>
      </w:r>
    </w:p>
    <w:p>
      <w:pPr>
        <w:spacing w:line="360" w:lineRule="auto"/>
        <w:ind w:left="2" w:leftChars="1" w:firstLine="480" w:firstLineChars="200"/>
        <w:rPr>
          <w:rFonts w:ascii="宋体" w:hAnsi="宋体"/>
          <w:color w:val="auto"/>
          <w:sz w:val="24"/>
          <w:highlight w:val="none"/>
        </w:rPr>
      </w:pPr>
      <w:r>
        <w:rPr>
          <w:rFonts w:hint="eastAsia" w:ascii="宋体" w:hAnsi="宋体"/>
          <w:color w:val="auto"/>
          <w:sz w:val="24"/>
          <w:highlight w:val="none"/>
        </w:rPr>
        <w:t>供应商应按照磋商文件的规定和要求编制响应文件。供应商在成交后将成交项目的非主体、非关键性工作分包他人完成的，应当在响应文件中载明或磋商过程中澄清。供应商编写的响应文件应包括资格性响应文件和其他响应文件两部分，分册装订。</w:t>
      </w:r>
    </w:p>
    <w:p>
      <w:pPr>
        <w:spacing w:line="360" w:lineRule="auto"/>
        <w:ind w:firstLine="482" w:firstLineChars="200"/>
        <w:jc w:val="left"/>
        <w:rPr>
          <w:b/>
          <w:bCs/>
          <w:color w:val="auto"/>
          <w:highlight w:val="none"/>
        </w:rPr>
      </w:pPr>
      <w:r>
        <w:rPr>
          <w:rFonts w:hint="eastAsia" w:ascii="宋体" w:hAnsi="宋体"/>
          <w:b/>
          <w:bCs/>
          <w:color w:val="auto"/>
          <w:sz w:val="24"/>
          <w:highlight w:val="none"/>
        </w:rPr>
        <w:t>供应商应准备响应文件正本壹套、副本壹套，包括资格性响应文件及其他响应文件。</w:t>
      </w:r>
    </w:p>
    <w:p>
      <w:pPr>
        <w:rPr>
          <w:rFonts w:ascii="宋体" w:hAnsi="宋体"/>
          <w:color w:val="auto"/>
          <w:sz w:val="24"/>
          <w:highlight w:val="none"/>
        </w:rPr>
      </w:pPr>
    </w:p>
    <w:p>
      <w:pPr>
        <w:pStyle w:val="6"/>
        <w:keepNext w:val="0"/>
        <w:keepLines w:val="0"/>
        <w:spacing w:before="0" w:after="0" w:line="360" w:lineRule="auto"/>
        <w:ind w:firstLine="482" w:firstLineChars="200"/>
        <w:rPr>
          <w:rFonts w:ascii="宋体" w:hAnsi="宋体"/>
          <w:bCs w:val="0"/>
          <w:color w:val="auto"/>
          <w:sz w:val="24"/>
          <w:szCs w:val="24"/>
          <w:highlight w:val="none"/>
        </w:rPr>
      </w:pPr>
      <w:r>
        <w:rPr>
          <w:rFonts w:hint="eastAsia" w:ascii="宋体" w:hAnsi="宋体"/>
          <w:bCs w:val="0"/>
          <w:color w:val="auto"/>
          <w:sz w:val="24"/>
          <w:szCs w:val="24"/>
          <w:highlight w:val="none"/>
        </w:rPr>
        <w:t>14.响应文件的语言</w:t>
      </w:r>
      <w:bookmarkEnd w:id="54"/>
      <w:bookmarkEnd w:id="55"/>
      <w:bookmarkEnd w:id="56"/>
      <w:r>
        <w:rPr>
          <w:rFonts w:hint="eastAsia" w:ascii="宋体" w:hAnsi="宋体"/>
          <w:bCs w:val="0"/>
          <w:color w:val="auto"/>
          <w:sz w:val="24"/>
          <w:szCs w:val="24"/>
          <w:highlight w:val="none"/>
        </w:rPr>
        <w:t>（实质性要求）</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14.1供应商提交的响应文件以及供应商与采购人、采购代理机构就有关报价的所有来往书面文件均须使用中文。响应文件中如附有外文资料，必须逐一对应翻译成中文并加盖供应商公章后附在相关外文资料后面，否则，供应商的响应文件将作为无效处理。（说明：供应商的法定代表人为外籍人士的，法定代表人的签字和护照除外。）</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14.2 翻译的中文资料与外文资料如果出现差异和矛盾，以中文为准。但不能故意错误翻译，否则，供应商的响应文件将作为无效处理。</w:t>
      </w:r>
    </w:p>
    <w:p>
      <w:pPr>
        <w:rPr>
          <w:rFonts w:ascii="宋体" w:hAnsi="宋体"/>
          <w:color w:val="auto"/>
          <w:sz w:val="24"/>
          <w:highlight w:val="none"/>
        </w:rPr>
      </w:pPr>
      <w:bookmarkStart w:id="57" w:name="_Toc183582216"/>
      <w:bookmarkStart w:id="58" w:name="_Toc183682353"/>
      <w:bookmarkStart w:id="59" w:name="_Toc217446044"/>
    </w:p>
    <w:p>
      <w:pPr>
        <w:pStyle w:val="6"/>
        <w:keepNext w:val="0"/>
        <w:keepLines w:val="0"/>
        <w:spacing w:before="0" w:after="0" w:line="360" w:lineRule="auto"/>
        <w:ind w:firstLine="482" w:firstLineChars="200"/>
        <w:rPr>
          <w:rFonts w:ascii="宋体" w:hAnsi="宋体"/>
          <w:color w:val="auto"/>
          <w:sz w:val="24"/>
          <w:szCs w:val="24"/>
          <w:highlight w:val="none"/>
        </w:rPr>
      </w:pPr>
      <w:r>
        <w:rPr>
          <w:rFonts w:hint="eastAsia" w:ascii="宋体" w:hAnsi="宋体"/>
          <w:color w:val="auto"/>
          <w:sz w:val="24"/>
          <w:szCs w:val="24"/>
          <w:highlight w:val="none"/>
        </w:rPr>
        <w:t>15.计量单位</w:t>
      </w:r>
      <w:bookmarkEnd w:id="57"/>
      <w:bookmarkEnd w:id="58"/>
      <w:bookmarkEnd w:id="59"/>
      <w:r>
        <w:rPr>
          <w:rFonts w:hint="eastAsia" w:ascii="宋体" w:hAnsi="宋体"/>
          <w:color w:val="auto"/>
          <w:sz w:val="24"/>
          <w:szCs w:val="24"/>
          <w:highlight w:val="none"/>
        </w:rPr>
        <w:t>（实质性要求）</w:t>
      </w:r>
    </w:p>
    <w:p>
      <w:pPr>
        <w:spacing w:line="360" w:lineRule="auto"/>
        <w:ind w:firstLine="470" w:firstLineChars="196"/>
        <w:rPr>
          <w:rFonts w:ascii="宋体" w:hAnsi="宋体"/>
          <w:color w:val="auto"/>
          <w:sz w:val="24"/>
          <w:highlight w:val="none"/>
        </w:rPr>
      </w:pPr>
      <w:r>
        <w:rPr>
          <w:rFonts w:hint="eastAsia" w:ascii="宋体" w:hAnsi="宋体"/>
          <w:color w:val="auto"/>
          <w:sz w:val="24"/>
          <w:highlight w:val="none"/>
        </w:rPr>
        <w:t>除磋商文件中另有规定外，本次采购项目所有合同项下的报价均采用国家法定的计量单位。</w:t>
      </w:r>
    </w:p>
    <w:p>
      <w:pPr>
        <w:rPr>
          <w:rFonts w:ascii="宋体" w:hAnsi="宋体"/>
          <w:b/>
          <w:bCs/>
          <w:color w:val="auto"/>
          <w:sz w:val="24"/>
          <w:highlight w:val="none"/>
        </w:rPr>
      </w:pPr>
      <w:bookmarkStart w:id="60" w:name="_Toc217446045"/>
    </w:p>
    <w:p>
      <w:pPr>
        <w:pStyle w:val="6"/>
        <w:keepNext w:val="0"/>
        <w:keepLines w:val="0"/>
        <w:spacing w:before="0" w:after="0" w:line="360" w:lineRule="auto"/>
        <w:ind w:firstLine="482" w:firstLineChars="200"/>
        <w:rPr>
          <w:rFonts w:ascii="宋体" w:hAnsi="宋体"/>
          <w:color w:val="auto"/>
          <w:sz w:val="24"/>
          <w:szCs w:val="24"/>
          <w:highlight w:val="none"/>
        </w:rPr>
      </w:pPr>
      <w:r>
        <w:rPr>
          <w:rFonts w:hint="eastAsia" w:ascii="宋体" w:hAnsi="宋体"/>
          <w:color w:val="auto"/>
          <w:sz w:val="24"/>
          <w:szCs w:val="24"/>
          <w:highlight w:val="none"/>
        </w:rPr>
        <w:t>16.报价（实质性要求）</w:t>
      </w:r>
    </w:p>
    <w:bookmarkEnd w:id="60"/>
    <w:p>
      <w:pPr>
        <w:spacing w:line="360" w:lineRule="auto"/>
        <w:ind w:firstLine="468" w:firstLineChars="195"/>
        <w:rPr>
          <w:rFonts w:ascii="宋体" w:hAnsi="宋体"/>
          <w:bCs/>
          <w:color w:val="auto"/>
          <w:sz w:val="24"/>
          <w:highlight w:val="none"/>
        </w:rPr>
      </w:pPr>
      <w:r>
        <w:rPr>
          <w:rFonts w:hint="eastAsia" w:ascii="宋体" w:hAnsi="宋体"/>
          <w:bCs/>
          <w:color w:val="auto"/>
          <w:sz w:val="24"/>
          <w:highlight w:val="none"/>
        </w:rPr>
        <w:t>16.1本次磋商项目的</w:t>
      </w:r>
      <w:r>
        <w:rPr>
          <w:rFonts w:hint="eastAsia" w:ascii="宋体" w:hAnsi="宋体"/>
          <w:color w:val="auto"/>
          <w:sz w:val="24"/>
          <w:highlight w:val="none"/>
        </w:rPr>
        <w:t>报价货币为</w:t>
      </w:r>
      <w:r>
        <w:rPr>
          <w:rFonts w:hint="eastAsia" w:ascii="宋体" w:hAnsi="宋体"/>
          <w:bCs/>
          <w:color w:val="auto"/>
          <w:sz w:val="24"/>
          <w:highlight w:val="none"/>
        </w:rPr>
        <w:t>人民币，报价以磋商文件规定为准。</w:t>
      </w:r>
    </w:p>
    <w:p>
      <w:pPr>
        <w:spacing w:line="360" w:lineRule="auto"/>
        <w:ind w:firstLine="468" w:firstLineChars="195"/>
        <w:rPr>
          <w:rFonts w:ascii="宋体" w:hAnsi="宋体"/>
          <w:bCs/>
          <w:color w:val="auto"/>
          <w:sz w:val="24"/>
          <w:highlight w:val="none"/>
        </w:rPr>
      </w:pPr>
      <w:r>
        <w:rPr>
          <w:rFonts w:hint="eastAsia" w:ascii="宋体" w:hAnsi="宋体"/>
          <w:bCs/>
          <w:color w:val="auto"/>
          <w:sz w:val="24"/>
          <w:highlight w:val="none"/>
        </w:rPr>
        <w:t>16.2供应商的报价是其响应本项目要求的全部工作内容的价格体现，包括供应商完成本项目所需的一切费用。</w:t>
      </w:r>
    </w:p>
    <w:p>
      <w:pPr>
        <w:spacing w:line="360" w:lineRule="auto"/>
        <w:ind w:firstLine="468" w:firstLineChars="195"/>
        <w:rPr>
          <w:rFonts w:ascii="宋体" w:hAnsi="宋体"/>
          <w:bCs/>
          <w:color w:val="auto"/>
          <w:sz w:val="24"/>
          <w:highlight w:val="none"/>
        </w:rPr>
      </w:pPr>
      <w:r>
        <w:rPr>
          <w:rFonts w:hint="eastAsia" w:ascii="宋体" w:hAnsi="宋体"/>
          <w:bCs/>
          <w:color w:val="auto"/>
          <w:sz w:val="24"/>
          <w:highlight w:val="none"/>
        </w:rPr>
        <w:t>16.3供应商报价超过政府采购预算或最高限价（具体详见“供应商须知附表”）的，视为无效报价，将被淘汰。</w:t>
      </w:r>
    </w:p>
    <w:p>
      <w:pPr>
        <w:rPr>
          <w:rFonts w:ascii="宋体" w:hAnsi="宋体"/>
          <w:bCs/>
          <w:color w:val="auto"/>
          <w:sz w:val="24"/>
          <w:highlight w:val="none"/>
        </w:rPr>
      </w:pPr>
    </w:p>
    <w:p>
      <w:pPr>
        <w:pStyle w:val="6"/>
        <w:keepNext w:val="0"/>
        <w:keepLines w:val="0"/>
        <w:spacing w:before="0" w:after="0" w:line="360" w:lineRule="auto"/>
        <w:ind w:firstLine="482" w:firstLineChars="200"/>
        <w:rPr>
          <w:rFonts w:ascii="宋体" w:hAnsi="宋体"/>
          <w:color w:val="auto"/>
          <w:sz w:val="24"/>
          <w:szCs w:val="24"/>
          <w:highlight w:val="none"/>
        </w:rPr>
      </w:pPr>
      <w:r>
        <w:rPr>
          <w:rFonts w:hint="eastAsia" w:ascii="宋体" w:hAnsi="宋体"/>
          <w:color w:val="auto"/>
          <w:sz w:val="24"/>
          <w:szCs w:val="24"/>
          <w:highlight w:val="none"/>
        </w:rPr>
        <w:t>17.响应文件格式</w:t>
      </w:r>
    </w:p>
    <w:p>
      <w:pPr>
        <w:spacing w:line="360" w:lineRule="auto"/>
        <w:ind w:left="2" w:leftChars="1" w:firstLine="480" w:firstLineChars="200"/>
        <w:rPr>
          <w:rFonts w:ascii="宋体" w:hAnsi="宋体"/>
          <w:bCs/>
          <w:color w:val="auto"/>
          <w:sz w:val="24"/>
          <w:highlight w:val="none"/>
        </w:rPr>
      </w:pPr>
      <w:r>
        <w:rPr>
          <w:rFonts w:hint="eastAsia" w:ascii="宋体" w:hAnsi="宋体"/>
          <w:bCs/>
          <w:color w:val="auto"/>
          <w:sz w:val="24"/>
          <w:highlight w:val="none"/>
        </w:rPr>
        <w:t>17.1供应商应执行磋商文件第七章的规定要求。</w:t>
      </w:r>
    </w:p>
    <w:p>
      <w:pPr>
        <w:spacing w:line="360" w:lineRule="auto"/>
        <w:ind w:left="2" w:leftChars="1" w:firstLine="480" w:firstLineChars="200"/>
        <w:rPr>
          <w:rFonts w:ascii="宋体" w:hAnsi="宋体"/>
          <w:color w:val="auto"/>
          <w:sz w:val="24"/>
          <w:highlight w:val="none"/>
        </w:rPr>
      </w:pPr>
      <w:r>
        <w:rPr>
          <w:rFonts w:hint="eastAsia" w:ascii="宋体" w:hAnsi="宋体"/>
          <w:color w:val="auto"/>
          <w:sz w:val="24"/>
          <w:highlight w:val="none"/>
        </w:rPr>
        <w:t>17.2对于没有格式要求的磋商文件由供应商自行编写。</w:t>
      </w:r>
    </w:p>
    <w:p>
      <w:pPr>
        <w:rPr>
          <w:rFonts w:ascii="宋体" w:hAnsi="宋体"/>
          <w:color w:val="auto"/>
          <w:sz w:val="24"/>
          <w:highlight w:val="none"/>
        </w:rPr>
      </w:pPr>
      <w:bookmarkStart w:id="61" w:name="_Toc183582224"/>
      <w:bookmarkStart w:id="62" w:name="_Toc183682361"/>
      <w:bookmarkStart w:id="63" w:name="_Toc217446051"/>
    </w:p>
    <w:p>
      <w:pPr>
        <w:pStyle w:val="6"/>
        <w:keepNext w:val="0"/>
        <w:keepLines w:val="0"/>
        <w:spacing w:before="0" w:after="0" w:line="360" w:lineRule="auto"/>
        <w:ind w:firstLine="482" w:firstLineChars="200"/>
        <w:rPr>
          <w:rFonts w:ascii="宋体" w:hAnsi="宋体"/>
          <w:color w:val="auto"/>
          <w:sz w:val="24"/>
          <w:szCs w:val="24"/>
          <w:highlight w:val="none"/>
        </w:rPr>
      </w:pPr>
      <w:r>
        <w:rPr>
          <w:rFonts w:hint="eastAsia" w:ascii="宋体" w:hAnsi="宋体"/>
          <w:color w:val="auto"/>
          <w:sz w:val="24"/>
          <w:szCs w:val="24"/>
          <w:highlight w:val="none"/>
        </w:rPr>
        <w:t>18.响应文件的编制和签署</w:t>
      </w:r>
    </w:p>
    <w:p>
      <w:pPr>
        <w:spacing w:line="360" w:lineRule="auto"/>
        <w:ind w:firstLine="468" w:firstLineChars="195"/>
        <w:rPr>
          <w:rFonts w:ascii="宋体" w:hAnsi="宋体"/>
          <w:bCs/>
          <w:color w:val="auto"/>
          <w:sz w:val="24"/>
          <w:highlight w:val="none"/>
        </w:rPr>
      </w:pPr>
      <w:r>
        <w:rPr>
          <w:rFonts w:hint="eastAsia" w:ascii="宋体" w:hAnsi="宋体"/>
          <w:color w:val="auto"/>
          <w:sz w:val="24"/>
          <w:highlight w:val="none"/>
        </w:rPr>
        <w:t>18.1</w:t>
      </w:r>
      <w:r>
        <w:rPr>
          <w:rFonts w:hint="eastAsia" w:ascii="宋体" w:hAnsi="宋体"/>
          <w:b/>
          <w:color w:val="auto"/>
          <w:sz w:val="24"/>
          <w:highlight w:val="none"/>
        </w:rPr>
        <w:t>（实质性要求）</w:t>
      </w:r>
      <w:r>
        <w:rPr>
          <w:rFonts w:hint="eastAsia" w:ascii="宋体" w:hAnsi="宋体"/>
          <w:b/>
          <w:bCs/>
          <w:color w:val="auto"/>
          <w:sz w:val="24"/>
          <w:highlight w:val="none"/>
        </w:rPr>
        <w:t>资格性响应文件正本壹份</w:t>
      </w:r>
      <w:r>
        <w:rPr>
          <w:rFonts w:hint="eastAsia" w:ascii="宋体" w:hAnsi="宋体"/>
          <w:b/>
          <w:bCs/>
          <w:color w:val="auto"/>
          <w:sz w:val="24"/>
          <w:highlight w:val="none"/>
          <w:lang w:eastAsia="zh-CN"/>
        </w:rPr>
        <w:t>、</w:t>
      </w:r>
      <w:r>
        <w:rPr>
          <w:rFonts w:hint="eastAsia" w:ascii="宋体" w:hAnsi="宋体"/>
          <w:b/>
          <w:bCs/>
          <w:color w:val="auto"/>
          <w:sz w:val="24"/>
          <w:highlight w:val="none"/>
        </w:rPr>
        <w:t>副本壹份</w:t>
      </w:r>
      <w:r>
        <w:rPr>
          <w:rFonts w:hint="eastAsia" w:ascii="宋体" w:hAnsi="宋体"/>
          <w:bCs/>
          <w:color w:val="auto"/>
          <w:sz w:val="24"/>
          <w:highlight w:val="none"/>
        </w:rPr>
        <w:t>，并在其封面上清楚地标明资格性响应文件、项目名称、项目编号、包件号及名称（若有）、供应商名称以及“正本”或“副本”字样。若正本和副本有不一致的内容，以正本书面响应文件为准。</w:t>
      </w:r>
    </w:p>
    <w:p>
      <w:pPr>
        <w:spacing w:line="360" w:lineRule="auto"/>
        <w:ind w:firstLine="468" w:firstLineChars="195"/>
        <w:rPr>
          <w:rFonts w:ascii="宋体" w:hAnsi="宋体"/>
          <w:bCs/>
          <w:color w:val="auto"/>
          <w:sz w:val="24"/>
          <w:highlight w:val="none"/>
        </w:rPr>
      </w:pPr>
      <w:r>
        <w:rPr>
          <w:rFonts w:hint="eastAsia" w:ascii="宋体" w:hAnsi="宋体"/>
          <w:bCs/>
          <w:color w:val="auto"/>
          <w:sz w:val="24"/>
          <w:highlight w:val="none"/>
        </w:rPr>
        <w:t>18.2</w:t>
      </w:r>
      <w:r>
        <w:rPr>
          <w:rFonts w:hint="eastAsia" w:ascii="宋体" w:hAnsi="宋体"/>
          <w:b/>
          <w:color w:val="auto"/>
          <w:sz w:val="24"/>
          <w:highlight w:val="none"/>
        </w:rPr>
        <w:t>（实质性要求）其他响应文件正本壹份</w:t>
      </w:r>
      <w:r>
        <w:rPr>
          <w:rFonts w:hint="eastAsia" w:ascii="宋体" w:hAnsi="宋体"/>
          <w:b/>
          <w:color w:val="auto"/>
          <w:sz w:val="24"/>
          <w:highlight w:val="none"/>
          <w:lang w:eastAsia="zh-CN"/>
        </w:rPr>
        <w:t>、</w:t>
      </w:r>
      <w:r>
        <w:rPr>
          <w:rFonts w:hint="eastAsia" w:ascii="宋体" w:hAnsi="宋体"/>
          <w:b/>
          <w:color w:val="auto"/>
          <w:sz w:val="24"/>
          <w:highlight w:val="none"/>
        </w:rPr>
        <w:t>副本</w:t>
      </w:r>
      <w:r>
        <w:rPr>
          <w:rFonts w:hint="eastAsia" w:ascii="宋体" w:hAnsi="宋体"/>
          <w:b/>
          <w:bCs/>
          <w:color w:val="auto"/>
          <w:sz w:val="24"/>
          <w:highlight w:val="none"/>
        </w:rPr>
        <w:t>壹</w:t>
      </w:r>
      <w:r>
        <w:rPr>
          <w:rFonts w:hint="eastAsia" w:ascii="宋体" w:hAnsi="宋体"/>
          <w:b/>
          <w:color w:val="auto"/>
          <w:sz w:val="24"/>
          <w:highlight w:val="none"/>
        </w:rPr>
        <w:t>份</w:t>
      </w:r>
      <w:r>
        <w:rPr>
          <w:rFonts w:hint="eastAsia" w:ascii="宋体" w:hAnsi="宋体"/>
          <w:bCs/>
          <w:color w:val="auto"/>
          <w:sz w:val="24"/>
          <w:highlight w:val="none"/>
        </w:rPr>
        <w:t>，并在其封面上清楚地标明其他响应文件、项目名称、项目编号、包件号及名称（若有）、供应商名称以及“正本”或“副本”字样。若正本和副本有不一致的内容，以正本书面响应文件为准。</w:t>
      </w:r>
    </w:p>
    <w:p>
      <w:pPr>
        <w:spacing w:line="360" w:lineRule="auto"/>
        <w:ind w:firstLine="468" w:firstLineChars="195"/>
        <w:rPr>
          <w:rFonts w:ascii="宋体" w:hAnsi="宋体"/>
          <w:bCs/>
          <w:color w:val="auto"/>
          <w:sz w:val="24"/>
          <w:highlight w:val="none"/>
        </w:rPr>
      </w:pPr>
      <w:r>
        <w:rPr>
          <w:rFonts w:hint="eastAsia" w:ascii="宋体" w:hAnsi="宋体"/>
          <w:bCs/>
          <w:color w:val="auto"/>
          <w:sz w:val="24"/>
          <w:highlight w:val="none"/>
        </w:rPr>
        <w:t>18.</w:t>
      </w:r>
      <w:bookmarkEnd w:id="61"/>
      <w:bookmarkEnd w:id="62"/>
      <w:bookmarkEnd w:id="63"/>
      <w:r>
        <w:rPr>
          <w:rFonts w:hint="eastAsia" w:ascii="宋体" w:hAnsi="宋体"/>
          <w:bCs/>
          <w:color w:val="auto"/>
          <w:sz w:val="24"/>
          <w:highlight w:val="none"/>
          <w:lang w:val="en-US" w:eastAsia="zh-CN"/>
        </w:rPr>
        <w:t>3</w:t>
      </w:r>
      <w:r>
        <w:rPr>
          <w:rFonts w:hint="eastAsia" w:ascii="宋体" w:hAnsi="宋体"/>
          <w:bCs/>
          <w:color w:val="auto"/>
          <w:sz w:val="24"/>
          <w:highlight w:val="none"/>
        </w:rPr>
        <w:t>响应文件正本和副本均需在规定签章处签字和盖章。响应文件副本可采用正本的复印件。</w:t>
      </w:r>
    </w:p>
    <w:p>
      <w:pPr>
        <w:spacing w:line="360" w:lineRule="auto"/>
        <w:ind w:firstLine="468" w:firstLineChars="195"/>
        <w:rPr>
          <w:rFonts w:ascii="宋体" w:hAnsi="宋体"/>
          <w:bCs/>
          <w:color w:val="auto"/>
          <w:sz w:val="24"/>
          <w:highlight w:val="none"/>
        </w:rPr>
      </w:pPr>
      <w:r>
        <w:rPr>
          <w:rFonts w:hint="eastAsia" w:ascii="宋体" w:hAnsi="宋体"/>
          <w:bCs/>
          <w:color w:val="auto"/>
          <w:sz w:val="24"/>
          <w:highlight w:val="none"/>
        </w:rPr>
        <w:t>18.</w:t>
      </w:r>
      <w:r>
        <w:rPr>
          <w:rFonts w:hint="eastAsia" w:ascii="宋体" w:hAnsi="宋体"/>
          <w:bCs/>
          <w:color w:val="auto"/>
          <w:sz w:val="24"/>
          <w:highlight w:val="none"/>
          <w:lang w:val="en-US" w:eastAsia="zh-CN"/>
        </w:rPr>
        <w:t>4</w:t>
      </w:r>
      <w:r>
        <w:rPr>
          <w:rFonts w:hint="eastAsia" w:ascii="宋体" w:hAnsi="宋体"/>
          <w:bCs/>
          <w:color w:val="auto"/>
          <w:sz w:val="24"/>
          <w:highlight w:val="none"/>
        </w:rPr>
        <w:t>响应文件的打印和书写应清楚工整，任何行间插字、涂改或增删，必须由供应商的法定代表人或其授权代表签字并盖供应商公章。</w:t>
      </w:r>
    </w:p>
    <w:p>
      <w:pPr>
        <w:spacing w:line="360" w:lineRule="auto"/>
        <w:ind w:firstLine="468" w:firstLineChars="195"/>
        <w:rPr>
          <w:rFonts w:ascii="宋体" w:hAnsi="宋体"/>
          <w:bCs/>
          <w:color w:val="auto"/>
          <w:sz w:val="24"/>
          <w:highlight w:val="none"/>
        </w:rPr>
      </w:pPr>
      <w:r>
        <w:rPr>
          <w:rFonts w:hint="eastAsia" w:ascii="宋体" w:hAnsi="宋体"/>
          <w:bCs/>
          <w:color w:val="auto"/>
          <w:sz w:val="24"/>
          <w:highlight w:val="none"/>
        </w:rPr>
        <w:t>18.</w:t>
      </w:r>
      <w:r>
        <w:rPr>
          <w:rFonts w:hint="eastAsia" w:ascii="宋体" w:hAnsi="宋体"/>
          <w:bCs/>
          <w:color w:val="auto"/>
          <w:sz w:val="24"/>
          <w:highlight w:val="none"/>
          <w:lang w:val="en-US" w:eastAsia="zh-CN"/>
        </w:rPr>
        <w:t>5</w:t>
      </w:r>
      <w:r>
        <w:rPr>
          <w:rFonts w:hint="eastAsia" w:ascii="宋体" w:hAnsi="宋体"/>
          <w:b/>
          <w:color w:val="auto"/>
          <w:sz w:val="24"/>
          <w:highlight w:val="none"/>
        </w:rPr>
        <w:t>（实质性要求）</w:t>
      </w:r>
      <w:r>
        <w:rPr>
          <w:rFonts w:hint="eastAsia" w:ascii="宋体" w:hAnsi="宋体"/>
          <w:bCs/>
          <w:color w:val="auto"/>
          <w:sz w:val="24"/>
          <w:highlight w:val="none"/>
        </w:rPr>
        <w:t>响应文件应由供应商法定代表人/主要负责人/本人或其授权代表在响应文件要求的地方签字（或加盖私人印章），要求加盖公章的地方加盖单位公章，不得使用专用章（如经济合同章、投标专用章等）或下属单位印章代替。</w:t>
      </w:r>
    </w:p>
    <w:p>
      <w:pPr>
        <w:spacing w:line="360" w:lineRule="auto"/>
        <w:ind w:firstLine="468" w:firstLineChars="195"/>
        <w:rPr>
          <w:rFonts w:ascii="宋体" w:hAnsi="宋体"/>
          <w:bCs/>
          <w:color w:val="auto"/>
          <w:sz w:val="24"/>
          <w:highlight w:val="none"/>
        </w:rPr>
      </w:pPr>
      <w:r>
        <w:rPr>
          <w:rFonts w:hint="eastAsia" w:ascii="宋体" w:hAnsi="宋体"/>
          <w:bCs/>
          <w:color w:val="auto"/>
          <w:sz w:val="24"/>
          <w:highlight w:val="none"/>
        </w:rPr>
        <w:t>18.</w:t>
      </w:r>
      <w:r>
        <w:rPr>
          <w:rFonts w:hint="eastAsia" w:ascii="宋体" w:hAnsi="宋体"/>
          <w:bCs/>
          <w:color w:val="auto"/>
          <w:sz w:val="24"/>
          <w:highlight w:val="none"/>
          <w:lang w:val="en-US" w:eastAsia="zh-CN"/>
        </w:rPr>
        <w:t>6</w:t>
      </w:r>
      <w:r>
        <w:rPr>
          <w:rFonts w:hint="eastAsia" w:ascii="宋体" w:hAnsi="宋体"/>
          <w:bCs/>
          <w:color w:val="auto"/>
          <w:sz w:val="24"/>
          <w:highlight w:val="none"/>
        </w:rPr>
        <w:t>响应文件正本和副本需要逐页编目编码。</w:t>
      </w:r>
    </w:p>
    <w:p>
      <w:pPr>
        <w:tabs>
          <w:tab w:val="left" w:pos="1080"/>
        </w:tabs>
        <w:spacing w:line="360" w:lineRule="auto"/>
        <w:ind w:firstLine="460" w:firstLineChars="192"/>
        <w:rPr>
          <w:rFonts w:ascii="宋体" w:hAnsi="宋体"/>
          <w:color w:val="auto"/>
          <w:sz w:val="24"/>
          <w:highlight w:val="none"/>
        </w:rPr>
      </w:pPr>
      <w:r>
        <w:rPr>
          <w:rFonts w:hint="eastAsia" w:ascii="宋体" w:hAnsi="宋体"/>
          <w:color w:val="auto"/>
          <w:sz w:val="24"/>
          <w:highlight w:val="none"/>
        </w:rPr>
        <w:t>18.</w:t>
      </w:r>
      <w:r>
        <w:rPr>
          <w:rFonts w:hint="eastAsia" w:ascii="宋体" w:hAnsi="宋体"/>
          <w:color w:val="auto"/>
          <w:sz w:val="24"/>
          <w:highlight w:val="none"/>
          <w:lang w:val="en-US" w:eastAsia="zh-CN"/>
        </w:rPr>
        <w:t>7</w:t>
      </w:r>
      <w:r>
        <w:rPr>
          <w:rFonts w:hint="eastAsia" w:ascii="宋体" w:hAnsi="宋体"/>
          <w:color w:val="auto"/>
          <w:sz w:val="24"/>
          <w:highlight w:val="none"/>
        </w:rPr>
        <w:t>响应文件正本和副本应当采用胶装方式装订成册，不得散装或者合页装订。</w:t>
      </w:r>
    </w:p>
    <w:p>
      <w:pPr>
        <w:tabs>
          <w:tab w:val="left" w:pos="1080"/>
        </w:tabs>
        <w:spacing w:line="360" w:lineRule="auto"/>
        <w:ind w:firstLine="460" w:firstLineChars="192"/>
        <w:rPr>
          <w:rFonts w:ascii="宋体" w:hAnsi="宋体"/>
          <w:color w:val="auto"/>
          <w:sz w:val="24"/>
          <w:highlight w:val="none"/>
        </w:rPr>
      </w:pPr>
      <w:r>
        <w:rPr>
          <w:rFonts w:hint="eastAsia" w:ascii="宋体" w:hAnsi="宋体"/>
          <w:color w:val="auto"/>
          <w:sz w:val="24"/>
          <w:highlight w:val="none"/>
        </w:rPr>
        <w:t>18.</w:t>
      </w:r>
      <w:r>
        <w:rPr>
          <w:rFonts w:hint="eastAsia" w:ascii="宋体" w:hAnsi="宋体"/>
          <w:color w:val="auto"/>
          <w:sz w:val="24"/>
          <w:highlight w:val="none"/>
          <w:lang w:val="en-US" w:eastAsia="zh-CN"/>
        </w:rPr>
        <w:t>8</w:t>
      </w:r>
      <w:r>
        <w:rPr>
          <w:rFonts w:hint="eastAsia" w:ascii="宋体" w:hAnsi="宋体"/>
          <w:color w:val="auto"/>
          <w:sz w:val="24"/>
          <w:highlight w:val="none"/>
        </w:rPr>
        <w:t>响应文件应根据磋商文件的要求制作，签署、盖章。</w:t>
      </w:r>
    </w:p>
    <w:p>
      <w:pPr>
        <w:tabs>
          <w:tab w:val="left" w:pos="1080"/>
        </w:tabs>
        <w:spacing w:line="360" w:lineRule="auto"/>
        <w:ind w:firstLine="460" w:firstLineChars="192"/>
        <w:rPr>
          <w:rFonts w:ascii="宋体" w:hAnsi="宋体"/>
          <w:color w:val="auto"/>
          <w:sz w:val="24"/>
          <w:highlight w:val="none"/>
        </w:rPr>
      </w:pPr>
      <w:r>
        <w:rPr>
          <w:rFonts w:hint="eastAsia" w:ascii="宋体" w:hAnsi="宋体"/>
          <w:color w:val="auto"/>
          <w:sz w:val="24"/>
          <w:highlight w:val="none"/>
        </w:rPr>
        <w:t>18.</w:t>
      </w:r>
      <w:r>
        <w:rPr>
          <w:rFonts w:hint="eastAsia" w:ascii="宋体" w:hAnsi="宋体"/>
          <w:color w:val="auto"/>
          <w:sz w:val="24"/>
          <w:highlight w:val="none"/>
          <w:lang w:val="en-US" w:eastAsia="zh-CN"/>
        </w:rPr>
        <w:t>9</w:t>
      </w:r>
      <w:r>
        <w:rPr>
          <w:rFonts w:hint="eastAsia" w:ascii="宋体" w:hAnsi="宋体"/>
          <w:color w:val="auto"/>
          <w:sz w:val="24"/>
          <w:highlight w:val="none"/>
        </w:rPr>
        <w:t>响应文件统一用</w:t>
      </w:r>
      <w:r>
        <w:rPr>
          <w:rFonts w:ascii="宋体" w:hAnsi="宋体"/>
          <w:color w:val="auto"/>
          <w:sz w:val="24"/>
          <w:highlight w:val="none"/>
        </w:rPr>
        <w:t>A4</w:t>
      </w:r>
      <w:r>
        <w:rPr>
          <w:rFonts w:hint="eastAsia" w:ascii="宋体" w:hAnsi="宋体"/>
          <w:color w:val="auto"/>
          <w:sz w:val="24"/>
          <w:highlight w:val="none"/>
        </w:rPr>
        <w:t>幅面纸印制，除另有规定外。</w:t>
      </w:r>
    </w:p>
    <w:p>
      <w:pPr>
        <w:rPr>
          <w:rFonts w:ascii="宋体" w:hAnsi="宋体"/>
          <w:b/>
          <w:color w:val="auto"/>
          <w:sz w:val="24"/>
          <w:highlight w:val="none"/>
        </w:rPr>
      </w:pPr>
      <w:bookmarkStart w:id="64" w:name="_Toc183682363"/>
      <w:bookmarkStart w:id="65" w:name="_Toc183582226"/>
      <w:bookmarkStart w:id="66" w:name="_Toc89075877"/>
      <w:bookmarkStart w:id="67" w:name="_Toc217446053"/>
      <w:bookmarkStart w:id="68" w:name="_Toc77400781"/>
    </w:p>
    <w:p>
      <w:pPr>
        <w:pStyle w:val="6"/>
        <w:keepNext w:val="0"/>
        <w:keepLines w:val="0"/>
        <w:spacing w:before="0" w:after="0" w:line="360" w:lineRule="auto"/>
        <w:ind w:firstLine="482" w:firstLineChars="200"/>
        <w:rPr>
          <w:rFonts w:ascii="宋体" w:hAnsi="宋体"/>
          <w:color w:val="auto"/>
          <w:sz w:val="24"/>
          <w:szCs w:val="24"/>
          <w:highlight w:val="none"/>
        </w:rPr>
      </w:pPr>
      <w:r>
        <w:rPr>
          <w:rFonts w:hint="eastAsia" w:ascii="宋体" w:hAnsi="宋体"/>
          <w:color w:val="auto"/>
          <w:sz w:val="24"/>
          <w:szCs w:val="24"/>
          <w:highlight w:val="none"/>
        </w:rPr>
        <w:t>19.响应文件的密封和标注（不属于本项目磋商小组评审范畴，由采购人、采购代理机构在接收响应文件时及时处理）</w:t>
      </w:r>
    </w:p>
    <w:p>
      <w:pPr>
        <w:tabs>
          <w:tab w:val="left" w:pos="1080"/>
        </w:tabs>
        <w:spacing w:line="360" w:lineRule="auto"/>
        <w:ind w:firstLine="460" w:firstLineChars="192"/>
        <w:rPr>
          <w:rFonts w:ascii="宋体" w:hAnsi="宋体"/>
          <w:color w:val="auto"/>
          <w:sz w:val="24"/>
          <w:highlight w:val="none"/>
        </w:rPr>
      </w:pPr>
      <w:r>
        <w:rPr>
          <w:rFonts w:hint="eastAsia" w:ascii="宋体" w:hAnsi="宋体"/>
          <w:color w:val="auto"/>
          <w:sz w:val="24"/>
          <w:highlight w:val="none"/>
        </w:rPr>
        <w:t>19.1响应文件可以单独密封包装，也可以所有响应文件密封包装在一个密封袋内。</w:t>
      </w:r>
    </w:p>
    <w:p>
      <w:pPr>
        <w:tabs>
          <w:tab w:val="left" w:pos="1080"/>
        </w:tabs>
        <w:spacing w:line="360" w:lineRule="auto"/>
        <w:ind w:firstLine="460" w:firstLineChars="192"/>
        <w:rPr>
          <w:rFonts w:ascii="宋体" w:hAnsi="宋体"/>
          <w:color w:val="auto"/>
          <w:sz w:val="24"/>
          <w:highlight w:val="none"/>
        </w:rPr>
      </w:pPr>
      <w:r>
        <w:rPr>
          <w:rFonts w:hint="eastAsia" w:ascii="宋体" w:hAnsi="宋体"/>
          <w:color w:val="auto"/>
          <w:sz w:val="24"/>
          <w:highlight w:val="none"/>
        </w:rPr>
        <w:t>19.2响应文件密封袋的最外层应清楚地标明采购项目名称、采购项目编号、包号（若有）、供应商名称。</w:t>
      </w:r>
    </w:p>
    <w:p>
      <w:pPr>
        <w:tabs>
          <w:tab w:val="left" w:pos="1080"/>
        </w:tabs>
        <w:spacing w:line="360" w:lineRule="auto"/>
        <w:ind w:firstLine="460" w:firstLineChars="192"/>
        <w:rPr>
          <w:rFonts w:ascii="宋体" w:hAnsi="宋体"/>
          <w:color w:val="auto"/>
          <w:sz w:val="24"/>
          <w:highlight w:val="none"/>
        </w:rPr>
      </w:pPr>
      <w:r>
        <w:rPr>
          <w:rFonts w:hint="eastAsia" w:ascii="宋体" w:hAnsi="宋体"/>
          <w:color w:val="auto"/>
          <w:sz w:val="24"/>
          <w:highlight w:val="none"/>
        </w:rPr>
        <w:t>19.3所有外层密封袋的封口处应粘贴牢固。</w:t>
      </w:r>
    </w:p>
    <w:p>
      <w:pPr>
        <w:tabs>
          <w:tab w:val="left" w:pos="1080"/>
        </w:tabs>
        <w:spacing w:line="360" w:lineRule="auto"/>
        <w:ind w:firstLine="460" w:firstLineChars="192"/>
        <w:rPr>
          <w:rFonts w:ascii="宋体" w:hAnsi="宋体"/>
          <w:color w:val="auto"/>
          <w:sz w:val="24"/>
          <w:highlight w:val="none"/>
        </w:rPr>
      </w:pPr>
      <w:r>
        <w:rPr>
          <w:rFonts w:hint="eastAsia" w:ascii="宋体" w:hAnsi="宋体"/>
          <w:color w:val="auto"/>
          <w:sz w:val="24"/>
          <w:highlight w:val="none"/>
        </w:rPr>
        <w:t>19.4未按以上要求进行密封和标注的响应文件，采购人、采购代理机构将拒收或者在时间允许的范围内，要求修改完善后接收。</w:t>
      </w:r>
    </w:p>
    <w:p>
      <w:pPr>
        <w:rPr>
          <w:color w:val="auto"/>
          <w:highlight w:val="none"/>
        </w:rPr>
      </w:pPr>
    </w:p>
    <w:p>
      <w:pPr>
        <w:pStyle w:val="6"/>
        <w:keepNext w:val="0"/>
        <w:keepLines w:val="0"/>
        <w:spacing w:before="0" w:after="0" w:line="360" w:lineRule="auto"/>
        <w:ind w:firstLine="482" w:firstLineChars="200"/>
        <w:rPr>
          <w:rFonts w:ascii="宋体" w:hAnsi="宋体"/>
          <w:color w:val="auto"/>
          <w:sz w:val="24"/>
          <w:szCs w:val="24"/>
          <w:highlight w:val="none"/>
        </w:rPr>
      </w:pPr>
      <w:r>
        <w:rPr>
          <w:rFonts w:hint="eastAsia" w:ascii="宋体" w:hAnsi="宋体"/>
          <w:color w:val="auto"/>
          <w:sz w:val="24"/>
          <w:szCs w:val="24"/>
          <w:highlight w:val="none"/>
        </w:rPr>
        <w:t>20.响应文件的递交</w:t>
      </w:r>
    </w:p>
    <w:p>
      <w:pPr>
        <w:tabs>
          <w:tab w:val="left" w:pos="1080"/>
        </w:tabs>
        <w:spacing w:line="360" w:lineRule="auto"/>
        <w:ind w:firstLine="460" w:firstLineChars="192"/>
        <w:rPr>
          <w:rFonts w:ascii="宋体" w:hAnsi="宋体"/>
          <w:color w:val="auto"/>
          <w:sz w:val="24"/>
          <w:highlight w:val="none"/>
        </w:rPr>
      </w:pPr>
      <w:r>
        <w:rPr>
          <w:rFonts w:hint="eastAsia" w:ascii="宋体" w:hAnsi="宋体"/>
          <w:color w:val="auto"/>
          <w:sz w:val="24"/>
          <w:highlight w:val="none"/>
        </w:rPr>
        <w:t>20.1资格性响应文件和其他响应文件应于递交响应文件截止时间前送达指定地点，采购代理机构拒绝接收截止时间后送达的响应文件。</w:t>
      </w:r>
    </w:p>
    <w:p>
      <w:pPr>
        <w:tabs>
          <w:tab w:val="left" w:pos="1080"/>
        </w:tabs>
        <w:spacing w:line="360" w:lineRule="auto"/>
        <w:ind w:firstLine="460" w:firstLineChars="192"/>
        <w:rPr>
          <w:rFonts w:ascii="宋体" w:hAnsi="宋体"/>
          <w:color w:val="auto"/>
          <w:sz w:val="24"/>
          <w:highlight w:val="none"/>
        </w:rPr>
      </w:pPr>
      <w:r>
        <w:rPr>
          <w:rFonts w:hint="eastAsia" w:ascii="宋体" w:hAnsi="宋体"/>
          <w:color w:val="auto"/>
          <w:sz w:val="24"/>
          <w:highlight w:val="none"/>
        </w:rPr>
        <w:t>20.2采购代理机构将向通过资格审查的供应商发出磋商邀请；告知未通过资格审查的供应商未通过的原因。</w:t>
      </w:r>
    </w:p>
    <w:p>
      <w:pPr>
        <w:tabs>
          <w:tab w:val="left" w:pos="1080"/>
        </w:tabs>
        <w:spacing w:line="360" w:lineRule="auto"/>
        <w:ind w:firstLine="460" w:firstLineChars="192"/>
        <w:rPr>
          <w:rFonts w:ascii="宋体" w:hAnsi="宋体"/>
          <w:color w:val="auto"/>
          <w:sz w:val="24"/>
          <w:highlight w:val="none"/>
        </w:rPr>
      </w:pPr>
      <w:r>
        <w:rPr>
          <w:rFonts w:hint="eastAsia" w:ascii="宋体" w:hAnsi="宋体"/>
          <w:color w:val="auto"/>
          <w:sz w:val="24"/>
          <w:highlight w:val="none"/>
        </w:rPr>
        <w:t>20.3报价表在磋商后，磋商小组要求供应商进行最后报价时递交。</w:t>
      </w:r>
    </w:p>
    <w:p>
      <w:pPr>
        <w:tabs>
          <w:tab w:val="left" w:pos="1080"/>
        </w:tabs>
        <w:spacing w:line="360" w:lineRule="auto"/>
        <w:ind w:firstLine="460" w:firstLineChars="192"/>
        <w:rPr>
          <w:rFonts w:ascii="宋体" w:hAnsi="宋体"/>
          <w:color w:val="auto"/>
          <w:sz w:val="24"/>
          <w:highlight w:val="none"/>
        </w:rPr>
      </w:pPr>
      <w:r>
        <w:rPr>
          <w:rFonts w:hint="eastAsia" w:ascii="宋体" w:hAnsi="宋体"/>
          <w:color w:val="auto"/>
          <w:sz w:val="24"/>
          <w:highlight w:val="none"/>
        </w:rPr>
        <w:t>20.4本次采购不接收邮寄的响应文件。</w:t>
      </w:r>
    </w:p>
    <w:bookmarkEnd w:id="64"/>
    <w:bookmarkEnd w:id="65"/>
    <w:bookmarkEnd w:id="66"/>
    <w:bookmarkEnd w:id="67"/>
    <w:bookmarkEnd w:id="68"/>
    <w:p>
      <w:pPr>
        <w:rPr>
          <w:rFonts w:ascii="宋体" w:hAnsi="宋体"/>
          <w:color w:val="auto"/>
          <w:szCs w:val="21"/>
          <w:highlight w:val="none"/>
        </w:rPr>
      </w:pPr>
    </w:p>
    <w:p>
      <w:pPr>
        <w:pStyle w:val="6"/>
        <w:keepNext w:val="0"/>
        <w:keepLines w:val="0"/>
        <w:spacing w:before="0" w:after="0" w:line="360" w:lineRule="auto"/>
        <w:ind w:firstLine="482" w:firstLineChars="200"/>
        <w:rPr>
          <w:rFonts w:ascii="宋体" w:hAnsi="宋体"/>
          <w:color w:val="auto"/>
          <w:sz w:val="24"/>
          <w:szCs w:val="24"/>
          <w:highlight w:val="none"/>
        </w:rPr>
      </w:pPr>
      <w:bookmarkStart w:id="69" w:name="_Toc217446055"/>
      <w:bookmarkStart w:id="70" w:name="_Toc183582228"/>
      <w:bookmarkStart w:id="71" w:name="_Toc183682365"/>
      <w:r>
        <w:rPr>
          <w:rFonts w:hint="eastAsia" w:ascii="宋体" w:hAnsi="宋体"/>
          <w:color w:val="auto"/>
          <w:sz w:val="24"/>
          <w:szCs w:val="24"/>
          <w:highlight w:val="none"/>
        </w:rPr>
        <w:t>21.响应文件的修改和撤回（补充、修改响应文件的密封和标注按照本章“19.响应文件的密封和标注”规定处理）</w:t>
      </w:r>
    </w:p>
    <w:p>
      <w:pPr>
        <w:pStyle w:val="10"/>
        <w:spacing w:line="360" w:lineRule="auto"/>
        <w:ind w:firstLine="480"/>
        <w:rPr>
          <w:rFonts w:ascii="宋体" w:hAnsi="宋体"/>
          <w:color w:val="auto"/>
          <w:sz w:val="24"/>
          <w:highlight w:val="none"/>
        </w:rPr>
      </w:pPr>
      <w:r>
        <w:rPr>
          <w:rFonts w:hint="eastAsia" w:ascii="宋体" w:hAnsi="宋体"/>
          <w:color w:val="auto"/>
          <w:sz w:val="24"/>
          <w:highlight w:val="none"/>
        </w:rPr>
        <w:t>21</w:t>
      </w:r>
      <w:r>
        <w:rPr>
          <w:rFonts w:ascii="宋体" w:hAnsi="宋体"/>
          <w:color w:val="auto"/>
          <w:sz w:val="24"/>
          <w:highlight w:val="none"/>
        </w:rPr>
        <w:t>.</w:t>
      </w:r>
      <w:r>
        <w:rPr>
          <w:rFonts w:hint="eastAsia" w:ascii="宋体" w:hAnsi="宋体"/>
          <w:color w:val="auto"/>
          <w:sz w:val="24"/>
          <w:highlight w:val="none"/>
        </w:rPr>
        <w:t>1供应商在提交响应文件后可对其响应文件进行修改或撤回，但该修改或撤回的书面通知须在递交截止时间之前送达采购代理机构，补充、修改的内容作为响应文件的组成部分。且该通知需经正式授权的供应商代表签字方为有效。 供应商在提交响应文件截止时间前，可以对所提交的响应文件进行补充、修改或者撤回，补充、修改的内容与响应文件不一致的，以补充、修改的内容为准。</w:t>
      </w:r>
    </w:p>
    <w:p>
      <w:pPr>
        <w:adjustRightInd w:val="0"/>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21</w:t>
      </w:r>
      <w:r>
        <w:rPr>
          <w:rFonts w:ascii="宋体" w:hAnsi="宋体"/>
          <w:color w:val="auto"/>
          <w:sz w:val="24"/>
          <w:highlight w:val="none"/>
        </w:rPr>
        <w:t>.</w:t>
      </w:r>
      <w:r>
        <w:rPr>
          <w:rFonts w:hint="eastAsia" w:ascii="宋体" w:hAnsi="宋体"/>
          <w:color w:val="auto"/>
          <w:sz w:val="24"/>
          <w:highlight w:val="none"/>
        </w:rPr>
        <w:t>2供应商对响应文件修改的书面材料或撤回的通知应该按规定进行编写、密封、标注和递送，并注明“修改响应文件”字样。</w:t>
      </w:r>
    </w:p>
    <w:p>
      <w:pPr>
        <w:adjustRightInd w:val="0"/>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21</w:t>
      </w:r>
      <w:r>
        <w:rPr>
          <w:rFonts w:ascii="宋体" w:hAnsi="宋体"/>
          <w:color w:val="auto"/>
          <w:sz w:val="24"/>
          <w:highlight w:val="none"/>
        </w:rPr>
        <w:t>.</w:t>
      </w:r>
      <w:r>
        <w:rPr>
          <w:rFonts w:hint="eastAsia" w:ascii="宋体" w:hAnsi="宋体"/>
          <w:color w:val="auto"/>
          <w:sz w:val="24"/>
          <w:highlight w:val="none"/>
        </w:rPr>
        <w:t>3供应商不得在递交截止时间起至响应文件有效期期满前撤销其响应文件。否则其磋商保证金将按相关规定被没收。</w:t>
      </w:r>
    </w:p>
    <w:p>
      <w:pPr>
        <w:spacing w:line="360" w:lineRule="auto"/>
        <w:ind w:firstLine="480"/>
        <w:rPr>
          <w:rFonts w:ascii="宋体" w:hAnsi="宋体"/>
          <w:color w:val="auto"/>
          <w:sz w:val="24"/>
          <w:highlight w:val="none"/>
        </w:rPr>
      </w:pPr>
      <w:r>
        <w:rPr>
          <w:rFonts w:hint="eastAsia" w:ascii="宋体" w:hAnsi="宋体"/>
          <w:color w:val="auto"/>
          <w:sz w:val="24"/>
          <w:highlight w:val="none"/>
        </w:rPr>
        <w:t>21.4响应文件中报价如果出现下列不一致的，可按以下原则进行修改：</w:t>
      </w:r>
    </w:p>
    <w:p>
      <w:pPr>
        <w:spacing w:line="360" w:lineRule="auto"/>
        <w:ind w:firstLine="480"/>
        <w:rPr>
          <w:rFonts w:ascii="宋体" w:hAnsi="宋体"/>
          <w:color w:val="auto"/>
          <w:sz w:val="24"/>
          <w:highlight w:val="none"/>
        </w:rPr>
      </w:pPr>
      <w:r>
        <w:rPr>
          <w:rFonts w:hint="eastAsia" w:ascii="宋体" w:hAnsi="宋体"/>
          <w:color w:val="auto"/>
          <w:sz w:val="24"/>
          <w:highlight w:val="none"/>
        </w:rPr>
        <w:t>（1）</w:t>
      </w:r>
      <w:r>
        <w:rPr>
          <w:rFonts w:hint="eastAsia" w:ascii="宋体" w:hAnsi="宋体" w:cs="宋体"/>
          <w:color w:val="auto"/>
          <w:kern w:val="0"/>
          <w:sz w:val="24"/>
          <w:highlight w:val="none"/>
        </w:rPr>
        <w:t>大写金额和小写金额不一致的，以大写金额为准</w:t>
      </w:r>
      <w:r>
        <w:rPr>
          <w:rFonts w:hint="eastAsia" w:ascii="宋体" w:hAnsi="宋体"/>
          <w:color w:val="auto"/>
          <w:sz w:val="24"/>
          <w:highlight w:val="none"/>
        </w:rPr>
        <w:t>，但大写金额文字存在错误的，应当先对大写金额的文字错误进行澄清、说明或者更正，再行修正。</w:t>
      </w:r>
    </w:p>
    <w:p>
      <w:pPr>
        <w:spacing w:line="360" w:lineRule="auto"/>
        <w:ind w:firstLine="480"/>
        <w:rPr>
          <w:rFonts w:ascii="宋体" w:hAnsi="宋体"/>
          <w:color w:val="auto"/>
          <w:sz w:val="24"/>
          <w:highlight w:val="none"/>
        </w:rPr>
      </w:pPr>
      <w:r>
        <w:rPr>
          <w:rFonts w:hint="eastAsia" w:ascii="宋体" w:hAnsi="宋体"/>
          <w:color w:val="auto"/>
          <w:sz w:val="24"/>
          <w:highlight w:val="none"/>
        </w:rPr>
        <w:t>（2）</w:t>
      </w:r>
      <w:r>
        <w:rPr>
          <w:rFonts w:hint="eastAsia" w:ascii="宋体" w:hAnsi="宋体" w:cs="宋体"/>
          <w:color w:val="auto"/>
          <w:kern w:val="0"/>
          <w:sz w:val="24"/>
          <w:highlight w:val="none"/>
        </w:rPr>
        <w:t>总价金额与按单价汇总金额不一致的，以单价金额计算结果为准，</w:t>
      </w:r>
      <w:r>
        <w:rPr>
          <w:rFonts w:hint="eastAsia" w:ascii="宋体" w:hAnsi="宋体"/>
          <w:color w:val="auto"/>
          <w:sz w:val="24"/>
          <w:highlight w:val="none"/>
        </w:rPr>
        <w:t>但</w:t>
      </w:r>
      <w:r>
        <w:rPr>
          <w:rFonts w:hint="eastAsia" w:ascii="宋体" w:hAnsi="宋体" w:cs="宋体"/>
          <w:color w:val="auto"/>
          <w:kern w:val="0"/>
          <w:sz w:val="24"/>
          <w:highlight w:val="none"/>
        </w:rPr>
        <w:t>单价或者单价汇总金额存在数字或者</w:t>
      </w:r>
      <w:r>
        <w:rPr>
          <w:rFonts w:hint="eastAsia" w:ascii="宋体" w:hAnsi="宋体"/>
          <w:color w:val="auto"/>
          <w:sz w:val="24"/>
          <w:highlight w:val="none"/>
        </w:rPr>
        <w:t>文字错误的，应当先对</w:t>
      </w:r>
      <w:r>
        <w:rPr>
          <w:rFonts w:hint="eastAsia" w:ascii="宋体" w:hAnsi="宋体" w:cs="宋体"/>
          <w:color w:val="auto"/>
          <w:kern w:val="0"/>
          <w:sz w:val="24"/>
          <w:highlight w:val="none"/>
        </w:rPr>
        <w:t>数字或者</w:t>
      </w:r>
      <w:r>
        <w:rPr>
          <w:rFonts w:hint="eastAsia" w:ascii="宋体" w:hAnsi="宋体"/>
          <w:color w:val="auto"/>
          <w:sz w:val="24"/>
          <w:highlight w:val="none"/>
        </w:rPr>
        <w:t>文字错误进行澄清、说明或者更正，再行修正。</w:t>
      </w:r>
    </w:p>
    <w:p>
      <w:pPr>
        <w:spacing w:line="360" w:lineRule="auto"/>
        <w:ind w:firstLine="480"/>
        <w:rPr>
          <w:rFonts w:ascii="宋体" w:hAnsi="宋体"/>
          <w:color w:val="auto"/>
          <w:sz w:val="24"/>
          <w:highlight w:val="none"/>
        </w:rPr>
      </w:pPr>
      <w:r>
        <w:rPr>
          <w:rFonts w:hint="eastAsia" w:ascii="宋体" w:hAnsi="宋体"/>
          <w:color w:val="auto"/>
          <w:sz w:val="24"/>
          <w:highlight w:val="none"/>
        </w:rPr>
        <w:t>（3）单价金额小数点</w:t>
      </w:r>
      <w:r>
        <w:rPr>
          <w:rFonts w:hint="eastAsia" w:ascii="宋体" w:hAnsi="宋体" w:cs="宋体"/>
          <w:color w:val="auto"/>
          <w:kern w:val="0"/>
          <w:sz w:val="24"/>
          <w:highlight w:val="none"/>
        </w:rPr>
        <w:t>或者百分比有明显错位的</w:t>
      </w:r>
      <w:r>
        <w:rPr>
          <w:rFonts w:hint="eastAsia" w:ascii="宋体" w:hAnsi="宋体"/>
          <w:color w:val="auto"/>
          <w:sz w:val="24"/>
          <w:highlight w:val="none"/>
        </w:rPr>
        <w:t>，以总价为准，修正单价。</w:t>
      </w:r>
    </w:p>
    <w:p>
      <w:pPr>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同时出现两种以上不一致的，按照上述规定的顺序修正。修正后的报价经供应商确认后产生约束力，供应商不确认的，其响应文件作为无效处理。供应商确认采取书面且加盖单位公章或者供应商授权代表签字的方式。</w:t>
      </w:r>
    </w:p>
    <w:p>
      <w:pPr>
        <w:spacing w:line="360" w:lineRule="auto"/>
        <w:ind w:firstLine="480"/>
        <w:rPr>
          <w:rFonts w:ascii="宋体" w:hAnsi="宋体"/>
          <w:color w:val="auto"/>
          <w:sz w:val="24"/>
          <w:highlight w:val="none"/>
        </w:rPr>
      </w:pPr>
      <w:r>
        <w:rPr>
          <w:rFonts w:hint="eastAsia" w:ascii="宋体" w:hAnsi="宋体"/>
          <w:color w:val="auto"/>
          <w:sz w:val="24"/>
          <w:highlight w:val="none"/>
        </w:rPr>
        <w:t>21.5供应商对其提交的响应文件的真实性、合法性承担法律责任。</w:t>
      </w:r>
      <w:bookmarkEnd w:id="69"/>
      <w:bookmarkEnd w:id="70"/>
      <w:bookmarkEnd w:id="71"/>
    </w:p>
    <w:p>
      <w:pPr>
        <w:pStyle w:val="5"/>
        <w:spacing w:before="0" w:after="0" w:line="360" w:lineRule="auto"/>
        <w:jc w:val="center"/>
        <w:rPr>
          <w:color w:val="auto"/>
          <w:highlight w:val="none"/>
        </w:rPr>
      </w:pPr>
      <w:bookmarkStart w:id="72" w:name="_Toc6025_WPSOffice_Level2"/>
      <w:bookmarkStart w:id="73" w:name="_Toc183582231"/>
      <w:bookmarkStart w:id="74" w:name="_Toc89075878"/>
      <w:bookmarkStart w:id="75" w:name="_Toc77400782"/>
      <w:bookmarkStart w:id="76" w:name="_Toc183682368"/>
      <w:bookmarkStart w:id="77" w:name="_Toc217446056"/>
      <w:r>
        <w:rPr>
          <w:rFonts w:hint="eastAsia"/>
          <w:color w:val="auto"/>
          <w:highlight w:val="none"/>
        </w:rPr>
        <w:t>五、评审</w:t>
      </w:r>
      <w:bookmarkEnd w:id="72"/>
    </w:p>
    <w:p>
      <w:pPr>
        <w:pStyle w:val="6"/>
        <w:keepNext w:val="0"/>
        <w:keepLines w:val="0"/>
        <w:spacing w:before="0" w:after="0" w:line="360" w:lineRule="auto"/>
        <w:ind w:firstLine="482" w:firstLineChars="200"/>
        <w:rPr>
          <w:rFonts w:ascii="宋体" w:hAnsi="宋体"/>
          <w:color w:val="auto"/>
          <w:sz w:val="24"/>
          <w:szCs w:val="24"/>
          <w:highlight w:val="none"/>
        </w:rPr>
      </w:pPr>
      <w:r>
        <w:rPr>
          <w:rFonts w:hint="eastAsia" w:ascii="宋体" w:hAnsi="宋体"/>
          <w:color w:val="auto"/>
          <w:sz w:val="24"/>
          <w:szCs w:val="24"/>
          <w:highlight w:val="none"/>
        </w:rPr>
        <w:t>22.磋商小组的组建及其评审工作按照有关法律制度和本文件第八章的规定进行。</w:t>
      </w:r>
    </w:p>
    <w:p>
      <w:pPr>
        <w:pStyle w:val="5"/>
        <w:spacing w:before="0" w:after="0" w:line="360" w:lineRule="auto"/>
        <w:jc w:val="center"/>
        <w:rPr>
          <w:color w:val="auto"/>
          <w:highlight w:val="none"/>
        </w:rPr>
      </w:pPr>
      <w:bookmarkStart w:id="78" w:name="_Toc7528_WPSOffice_Level2"/>
      <w:r>
        <w:rPr>
          <w:rFonts w:hint="eastAsia"/>
          <w:color w:val="auto"/>
          <w:highlight w:val="none"/>
        </w:rPr>
        <w:t>六、成交事项</w:t>
      </w:r>
      <w:bookmarkEnd w:id="78"/>
    </w:p>
    <w:p>
      <w:pPr>
        <w:pStyle w:val="6"/>
        <w:keepNext w:val="0"/>
        <w:keepLines w:val="0"/>
        <w:spacing w:before="0" w:after="0" w:line="360" w:lineRule="auto"/>
        <w:ind w:firstLine="482" w:firstLineChars="200"/>
        <w:rPr>
          <w:rFonts w:ascii="宋体" w:hAnsi="宋体"/>
          <w:color w:val="auto"/>
          <w:sz w:val="24"/>
          <w:szCs w:val="24"/>
          <w:highlight w:val="none"/>
        </w:rPr>
      </w:pPr>
      <w:r>
        <w:rPr>
          <w:rFonts w:hint="eastAsia" w:ascii="宋体" w:hAnsi="宋体"/>
          <w:color w:val="auto"/>
          <w:sz w:val="24"/>
          <w:szCs w:val="24"/>
          <w:highlight w:val="none"/>
        </w:rPr>
        <w:t>23.确定成交供应商</w:t>
      </w:r>
    </w:p>
    <w:p>
      <w:pPr>
        <w:spacing w:line="360" w:lineRule="auto"/>
        <w:ind w:firstLine="480"/>
        <w:rPr>
          <w:rFonts w:ascii="宋体" w:hAnsi="宋体"/>
          <w:color w:val="auto"/>
          <w:sz w:val="24"/>
          <w:highlight w:val="none"/>
        </w:rPr>
      </w:pPr>
      <w:r>
        <w:rPr>
          <w:rFonts w:hint="eastAsia" w:ascii="宋体" w:hAnsi="宋体"/>
          <w:color w:val="auto"/>
          <w:sz w:val="24"/>
          <w:highlight w:val="none"/>
        </w:rPr>
        <w:t>采购人将按磋商小组推荐的成交候选供应商顺序确定成交供应商。</w:t>
      </w:r>
    </w:p>
    <w:p>
      <w:pPr>
        <w:spacing w:line="360" w:lineRule="auto"/>
        <w:ind w:firstLine="480"/>
        <w:rPr>
          <w:rFonts w:ascii="宋体" w:hAnsi="宋体"/>
          <w:color w:val="auto"/>
          <w:sz w:val="24"/>
          <w:highlight w:val="none"/>
        </w:rPr>
      </w:pPr>
      <w:r>
        <w:rPr>
          <w:rFonts w:hint="eastAsia" w:ascii="宋体" w:hAnsi="宋体"/>
          <w:color w:val="auto"/>
          <w:sz w:val="24"/>
          <w:highlight w:val="none"/>
        </w:rPr>
        <w:t>23.1采购代理机构自评审结束后2个工作日内将磋商报告及有关资料送交采购人确定成交供应商。</w:t>
      </w:r>
    </w:p>
    <w:p>
      <w:pPr>
        <w:spacing w:line="360" w:lineRule="auto"/>
        <w:ind w:firstLine="480"/>
        <w:rPr>
          <w:rFonts w:ascii="宋体" w:hAnsi="宋体"/>
          <w:color w:val="auto"/>
          <w:sz w:val="24"/>
          <w:highlight w:val="none"/>
        </w:rPr>
      </w:pPr>
      <w:r>
        <w:rPr>
          <w:rFonts w:hint="eastAsia" w:ascii="宋体" w:hAnsi="宋体"/>
          <w:color w:val="auto"/>
          <w:sz w:val="24"/>
          <w:highlight w:val="none"/>
        </w:rPr>
        <w:t>23.2采购人收到磋商报告及有关资料后，将在5个工作日内按照磋商报告中推荐的成交候选供应商顺序确定成交供应商。成交候选供应商并列的，采购人自主采取公平、择优的方式选择成交供应商。采购人逾期未确定成交供应商且不提出异议的，视为确定磋商报告提出的排序第一的供应商为成交供应商。</w:t>
      </w:r>
    </w:p>
    <w:p>
      <w:pPr>
        <w:spacing w:line="360" w:lineRule="auto"/>
        <w:ind w:firstLine="480"/>
        <w:rPr>
          <w:rFonts w:ascii="宋体" w:hAnsi="宋体"/>
          <w:color w:val="auto"/>
          <w:sz w:val="24"/>
          <w:highlight w:val="none"/>
        </w:rPr>
      </w:pPr>
      <w:r>
        <w:rPr>
          <w:rFonts w:hint="eastAsia" w:ascii="宋体" w:hAnsi="宋体"/>
          <w:color w:val="auto"/>
          <w:sz w:val="24"/>
          <w:highlight w:val="none"/>
        </w:rPr>
        <w:t>23.3采购人确定成交供应商过程中，发现成交候选供应商有下列情形之一的，应当不予确定其为成交供应商：</w:t>
      </w:r>
    </w:p>
    <w:p>
      <w:pPr>
        <w:spacing w:line="360" w:lineRule="auto"/>
        <w:ind w:firstLine="480"/>
        <w:rPr>
          <w:rFonts w:ascii="宋体" w:hAnsi="宋体"/>
          <w:color w:val="auto"/>
          <w:sz w:val="24"/>
          <w:highlight w:val="none"/>
        </w:rPr>
      </w:pPr>
      <w:r>
        <w:rPr>
          <w:rFonts w:hint="eastAsia" w:ascii="宋体" w:hAnsi="宋体"/>
          <w:color w:val="auto"/>
          <w:sz w:val="24"/>
          <w:highlight w:val="none"/>
        </w:rPr>
        <w:t>（1）发现成交候选供应商存在禁止参加本项目采购活动的违法行为的；</w:t>
      </w:r>
    </w:p>
    <w:p>
      <w:pPr>
        <w:spacing w:line="360" w:lineRule="auto"/>
        <w:ind w:firstLine="480"/>
        <w:rPr>
          <w:rFonts w:ascii="宋体" w:hAnsi="宋体"/>
          <w:color w:val="auto"/>
          <w:sz w:val="24"/>
          <w:highlight w:val="none"/>
        </w:rPr>
      </w:pPr>
      <w:r>
        <w:rPr>
          <w:rFonts w:hint="eastAsia" w:ascii="宋体" w:hAnsi="宋体"/>
          <w:color w:val="auto"/>
          <w:sz w:val="24"/>
          <w:highlight w:val="none"/>
        </w:rPr>
        <w:t>（2）成交候选供应商因不可抗力，不能继续参加政府采购活动；</w:t>
      </w:r>
    </w:p>
    <w:p>
      <w:pPr>
        <w:spacing w:line="360" w:lineRule="auto"/>
        <w:ind w:firstLine="480"/>
        <w:rPr>
          <w:rFonts w:ascii="宋体" w:hAnsi="宋体"/>
          <w:color w:val="auto"/>
          <w:sz w:val="24"/>
          <w:highlight w:val="none"/>
        </w:rPr>
      </w:pPr>
      <w:r>
        <w:rPr>
          <w:rFonts w:hint="eastAsia" w:ascii="宋体" w:hAnsi="宋体"/>
          <w:color w:val="auto"/>
          <w:sz w:val="24"/>
          <w:highlight w:val="none"/>
        </w:rPr>
        <w:t>（3）成交候选供应商无偿赠与或者低于成本价竞争；</w:t>
      </w:r>
    </w:p>
    <w:p>
      <w:pPr>
        <w:spacing w:line="360" w:lineRule="auto"/>
        <w:ind w:firstLine="480"/>
        <w:rPr>
          <w:rFonts w:ascii="宋体" w:hAnsi="宋体"/>
          <w:color w:val="auto"/>
          <w:sz w:val="24"/>
          <w:highlight w:val="none"/>
        </w:rPr>
      </w:pPr>
      <w:r>
        <w:rPr>
          <w:rFonts w:hint="eastAsia" w:ascii="宋体" w:hAnsi="宋体"/>
          <w:color w:val="auto"/>
          <w:sz w:val="24"/>
          <w:highlight w:val="none"/>
        </w:rPr>
        <w:t>（4）成交候选供应商提供虚假材料；</w:t>
      </w:r>
    </w:p>
    <w:p>
      <w:pPr>
        <w:spacing w:line="360" w:lineRule="auto"/>
        <w:ind w:firstLine="480"/>
        <w:rPr>
          <w:rFonts w:ascii="宋体" w:hAnsi="宋体"/>
          <w:color w:val="auto"/>
          <w:sz w:val="24"/>
          <w:highlight w:val="none"/>
        </w:rPr>
      </w:pPr>
      <w:r>
        <w:rPr>
          <w:rFonts w:hint="eastAsia" w:ascii="宋体" w:hAnsi="宋体"/>
          <w:color w:val="auto"/>
          <w:sz w:val="24"/>
          <w:highlight w:val="none"/>
        </w:rPr>
        <w:t>（5）成交候选供应商恶意串通。</w:t>
      </w:r>
    </w:p>
    <w:p>
      <w:pPr>
        <w:spacing w:line="360" w:lineRule="auto"/>
        <w:ind w:firstLine="480"/>
        <w:rPr>
          <w:rFonts w:ascii="宋体" w:hAnsi="宋体"/>
          <w:color w:val="auto"/>
          <w:sz w:val="24"/>
          <w:highlight w:val="none"/>
        </w:rPr>
      </w:pPr>
      <w:r>
        <w:rPr>
          <w:rFonts w:hint="eastAsia" w:ascii="宋体" w:hAnsi="宋体"/>
          <w:color w:val="auto"/>
          <w:sz w:val="24"/>
          <w:highlight w:val="none"/>
        </w:rPr>
        <w:t>成交候选供应商有本条情形之一的，采购人可以确定后一位成交候选供应商为成交供应商，依次类推。无法确定成交供应商的，应当重新组织采购。</w:t>
      </w:r>
    </w:p>
    <w:p>
      <w:pPr>
        <w:rPr>
          <w:rFonts w:ascii="宋体" w:hAnsi="宋体"/>
          <w:color w:val="auto"/>
          <w:sz w:val="24"/>
          <w:highlight w:val="none"/>
        </w:rPr>
      </w:pPr>
    </w:p>
    <w:p>
      <w:pPr>
        <w:pStyle w:val="6"/>
        <w:keepNext w:val="0"/>
        <w:keepLines w:val="0"/>
        <w:spacing w:before="0" w:after="0" w:line="360" w:lineRule="auto"/>
        <w:ind w:firstLine="482" w:firstLineChars="200"/>
        <w:rPr>
          <w:rFonts w:ascii="宋体" w:hAnsi="宋体"/>
          <w:color w:val="auto"/>
          <w:sz w:val="24"/>
          <w:szCs w:val="24"/>
          <w:highlight w:val="none"/>
        </w:rPr>
      </w:pPr>
      <w:r>
        <w:rPr>
          <w:rFonts w:hint="eastAsia" w:ascii="宋体" w:hAnsi="宋体"/>
          <w:color w:val="auto"/>
          <w:sz w:val="24"/>
          <w:szCs w:val="24"/>
          <w:highlight w:val="none"/>
        </w:rPr>
        <w:t>24.成交结果</w:t>
      </w:r>
    </w:p>
    <w:p>
      <w:pPr>
        <w:spacing w:line="360" w:lineRule="auto"/>
        <w:ind w:firstLine="480"/>
        <w:rPr>
          <w:rFonts w:ascii="宋体" w:hAnsi="宋体"/>
          <w:color w:val="auto"/>
          <w:sz w:val="24"/>
          <w:highlight w:val="none"/>
        </w:rPr>
      </w:pPr>
      <w:r>
        <w:rPr>
          <w:rFonts w:hint="eastAsia" w:ascii="宋体" w:hAnsi="宋体"/>
          <w:color w:val="auto"/>
          <w:sz w:val="24"/>
          <w:highlight w:val="none"/>
        </w:rPr>
        <w:t>24.1采购人确定成交供应商后，将及时书面通知采购代理机构，发出成交通知书并发布成交结果公告。</w:t>
      </w:r>
    </w:p>
    <w:p>
      <w:pPr>
        <w:spacing w:line="360" w:lineRule="auto"/>
        <w:ind w:firstLine="480"/>
        <w:rPr>
          <w:rFonts w:ascii="宋体" w:hAnsi="宋体"/>
          <w:color w:val="auto"/>
          <w:sz w:val="24"/>
          <w:highlight w:val="none"/>
        </w:rPr>
      </w:pPr>
      <w:r>
        <w:rPr>
          <w:rFonts w:hint="eastAsia" w:ascii="宋体" w:hAnsi="宋体"/>
          <w:color w:val="auto"/>
          <w:sz w:val="24"/>
          <w:highlight w:val="none"/>
        </w:rPr>
        <w:t>24.2成交供应商应当及时领取成交通知书。</w:t>
      </w:r>
    </w:p>
    <w:p>
      <w:pPr>
        <w:spacing w:line="360" w:lineRule="auto"/>
        <w:ind w:firstLine="480"/>
        <w:rPr>
          <w:rFonts w:ascii="宋体" w:hAnsi="宋体"/>
          <w:color w:val="auto"/>
          <w:sz w:val="24"/>
          <w:highlight w:val="none"/>
        </w:rPr>
      </w:pPr>
      <w:r>
        <w:rPr>
          <w:rFonts w:hint="eastAsia" w:ascii="宋体" w:hAnsi="宋体"/>
          <w:color w:val="auto"/>
          <w:sz w:val="24"/>
          <w:highlight w:val="none"/>
        </w:rPr>
        <w:t>24.3成交供应商不能及时领取成交通知书，采购人或者采购代理机应当通过邮寄、快递等方式将项目成交通知书送达成交供应商。</w:t>
      </w:r>
    </w:p>
    <w:p>
      <w:pPr>
        <w:rPr>
          <w:rFonts w:ascii="宋体" w:hAnsi="宋体"/>
          <w:color w:val="auto"/>
          <w:sz w:val="24"/>
          <w:highlight w:val="none"/>
        </w:rPr>
      </w:pPr>
    </w:p>
    <w:p>
      <w:pPr>
        <w:pStyle w:val="6"/>
        <w:keepNext w:val="0"/>
        <w:keepLines w:val="0"/>
        <w:spacing w:before="0" w:after="0" w:line="360" w:lineRule="auto"/>
        <w:ind w:firstLine="482" w:firstLineChars="200"/>
        <w:rPr>
          <w:rFonts w:ascii="宋体" w:hAnsi="宋体"/>
          <w:color w:val="auto"/>
          <w:sz w:val="24"/>
          <w:szCs w:val="24"/>
          <w:highlight w:val="none"/>
        </w:rPr>
      </w:pPr>
      <w:r>
        <w:rPr>
          <w:rFonts w:hint="eastAsia" w:ascii="宋体" w:hAnsi="宋体"/>
          <w:color w:val="auto"/>
          <w:sz w:val="24"/>
          <w:szCs w:val="24"/>
          <w:highlight w:val="none"/>
        </w:rPr>
        <w:t>25.成交通知书</w:t>
      </w:r>
    </w:p>
    <w:p>
      <w:pPr>
        <w:spacing w:line="360" w:lineRule="auto"/>
        <w:ind w:firstLine="480"/>
        <w:rPr>
          <w:rFonts w:ascii="宋体" w:hAnsi="宋体"/>
          <w:color w:val="auto"/>
          <w:sz w:val="24"/>
          <w:highlight w:val="none"/>
        </w:rPr>
      </w:pPr>
      <w:r>
        <w:rPr>
          <w:rFonts w:hint="eastAsia" w:ascii="宋体" w:hAnsi="宋体"/>
          <w:color w:val="auto"/>
          <w:sz w:val="24"/>
          <w:highlight w:val="none"/>
        </w:rPr>
        <w:t>25.1成交通知书为签订政府采购合同的依据之一，是合同的有效组成部分。</w:t>
      </w:r>
    </w:p>
    <w:p>
      <w:pPr>
        <w:spacing w:line="360" w:lineRule="auto"/>
        <w:ind w:firstLine="480"/>
        <w:rPr>
          <w:rFonts w:ascii="宋体" w:hAnsi="宋体"/>
          <w:color w:val="auto"/>
          <w:sz w:val="24"/>
          <w:highlight w:val="none"/>
        </w:rPr>
      </w:pPr>
      <w:r>
        <w:rPr>
          <w:rFonts w:hint="eastAsia" w:ascii="宋体" w:hAnsi="宋体"/>
          <w:color w:val="auto"/>
          <w:sz w:val="24"/>
          <w:highlight w:val="none"/>
        </w:rPr>
        <w:t>25.2成交通知书对采购人和成交供应商均具有法律效力。成交通知书发出后，采购人无正当理由改变成交结果，或者成交供应商无正当理由放弃成交的，将承担相应的法律责任。</w:t>
      </w:r>
    </w:p>
    <w:p>
      <w:pPr>
        <w:spacing w:line="360" w:lineRule="auto"/>
        <w:ind w:firstLine="480"/>
        <w:rPr>
          <w:rFonts w:ascii="宋体" w:hAnsi="宋体"/>
          <w:color w:val="auto"/>
          <w:sz w:val="24"/>
          <w:highlight w:val="none"/>
        </w:rPr>
      </w:pPr>
      <w:r>
        <w:rPr>
          <w:rFonts w:hint="eastAsia" w:ascii="宋体" w:hAnsi="宋体"/>
          <w:color w:val="auto"/>
          <w:sz w:val="24"/>
          <w:highlight w:val="none"/>
        </w:rPr>
        <w:t>25.3成交供应商的响应文件作为无效响应文件处理或者有政府采购法律法规规章制度规定的成交无效情形的，采购人/采购代理机构在取得有权主体的认定以后，有权宣布发出的成交通知书无效，并收回发出的成交通知书，依法重新确定成交供应商或者重新开展采购活动。</w:t>
      </w:r>
    </w:p>
    <w:p>
      <w:pPr>
        <w:pStyle w:val="5"/>
        <w:spacing w:before="0" w:after="0" w:line="360" w:lineRule="auto"/>
        <w:jc w:val="center"/>
        <w:rPr>
          <w:color w:val="auto"/>
          <w:highlight w:val="none"/>
        </w:rPr>
      </w:pPr>
      <w:bookmarkStart w:id="79" w:name="_Toc17511_WPSOffice_Level2"/>
      <w:r>
        <w:rPr>
          <w:rFonts w:hint="eastAsia"/>
          <w:color w:val="auto"/>
          <w:highlight w:val="none"/>
        </w:rPr>
        <w:t>七、合同事项</w:t>
      </w:r>
      <w:bookmarkEnd w:id="79"/>
    </w:p>
    <w:p>
      <w:pPr>
        <w:pStyle w:val="6"/>
        <w:keepNext w:val="0"/>
        <w:keepLines w:val="0"/>
        <w:spacing w:before="0" w:after="0" w:line="360" w:lineRule="auto"/>
        <w:ind w:firstLine="482" w:firstLineChars="200"/>
        <w:rPr>
          <w:rFonts w:ascii="宋体" w:hAnsi="宋体"/>
          <w:color w:val="auto"/>
          <w:sz w:val="24"/>
          <w:szCs w:val="24"/>
          <w:highlight w:val="none"/>
        </w:rPr>
      </w:pPr>
      <w:bookmarkStart w:id="80" w:name="_Toc430773927"/>
      <w:bookmarkStart w:id="81" w:name="_Toc101338364"/>
      <w:bookmarkStart w:id="82" w:name="_Toc101250646"/>
      <w:bookmarkStart w:id="83" w:name="_Toc209847069"/>
      <w:bookmarkStart w:id="84" w:name="_Toc101174151"/>
      <w:r>
        <w:rPr>
          <w:rFonts w:hint="eastAsia" w:ascii="宋体" w:hAnsi="宋体"/>
          <w:color w:val="auto"/>
          <w:sz w:val="24"/>
          <w:szCs w:val="24"/>
          <w:highlight w:val="none"/>
        </w:rPr>
        <w:t>26.签订合同</w:t>
      </w:r>
      <w:bookmarkEnd w:id="80"/>
      <w:bookmarkEnd w:id="81"/>
      <w:bookmarkEnd w:id="82"/>
      <w:bookmarkEnd w:id="83"/>
      <w:bookmarkEnd w:id="84"/>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26.1成交供应商应在成交通知书发出之日起三十日内与采购人签订采购合同。由于成交供应商的原因逾期未与采购人签订采购合同的，将视为放弃成交，取消其成交资格并将按相关规定进行处理。</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26.2磋商文件、成交供应商的响应文件及双方确认的澄清文件等，均为有法律约束力的合同组成部分。</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26.3采购人不得向成交供应商提出任何不合理的要求，作为签订合同的条件，不得与成交供应商私下订立背离合同实质性内容的任何协议，所签订的合同不得对磋商文件和成交供应商响应文件确定的事项进行修改。</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26.4成交供应商因不可抗力原因不能履行采购合同或放弃成交的，采购人可以与排在成交供应商之后第一位的成交候选人签订采购合同，以此类推。</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26.5竞争性磋商文件、成交供应商提交的响应文件、磋商中的最后报价、成交供应商承诺书、成交通知书等均称为有法律约束力的合同组成内容。</w:t>
      </w:r>
    </w:p>
    <w:p>
      <w:pPr>
        <w:rPr>
          <w:rFonts w:ascii="宋体" w:hAnsi="宋体"/>
          <w:color w:val="auto"/>
          <w:sz w:val="24"/>
          <w:highlight w:val="none"/>
        </w:rPr>
      </w:pPr>
    </w:p>
    <w:p>
      <w:pPr>
        <w:pStyle w:val="6"/>
        <w:keepNext w:val="0"/>
        <w:keepLines w:val="0"/>
        <w:spacing w:before="0" w:after="0" w:line="360" w:lineRule="auto"/>
        <w:ind w:firstLine="482" w:firstLineChars="200"/>
        <w:rPr>
          <w:rFonts w:ascii="宋体" w:hAnsi="宋体"/>
          <w:color w:val="auto"/>
          <w:sz w:val="24"/>
          <w:szCs w:val="24"/>
          <w:highlight w:val="none"/>
        </w:rPr>
      </w:pPr>
      <w:r>
        <w:rPr>
          <w:rFonts w:hint="eastAsia" w:ascii="宋体" w:hAnsi="宋体"/>
          <w:color w:val="auto"/>
          <w:sz w:val="24"/>
          <w:szCs w:val="24"/>
          <w:highlight w:val="none"/>
        </w:rPr>
        <w:t>27.合同分包（实质性要求）</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27.1经采购人同意，成交供应商可以依法采取分包方式履行合同，但必须在响应文件中事前载明。这种要求应当在合同签订之前征得采购人同意，并且分包供应商履行的分包项目的品牌、规格型号及技术要求等，必须与成交的一致。</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分包履行合同的部分应当为采购项目的非主体、非关键性工作，不属于成交供应商的主要合同义务。</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27.2采购合同实行分包履行的，成交供应商就采购项目和分包项目向采购人负责，分包供应商就分包项目承担责任。</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27.3中小企业依据《政府采购促进中小企业发展暂行办法》（财库〔2020〕46号）规定的政策获取政府采购合同后，小型、微型企业不得分包或转包给大型、中型企业，中型企业不得分包或转包给大型企业。</w:t>
      </w:r>
    </w:p>
    <w:p>
      <w:pPr>
        <w:rPr>
          <w:rFonts w:ascii="宋体" w:hAnsi="宋体"/>
          <w:color w:val="auto"/>
          <w:sz w:val="24"/>
          <w:highlight w:val="none"/>
        </w:rPr>
      </w:pPr>
    </w:p>
    <w:p>
      <w:pPr>
        <w:pStyle w:val="6"/>
        <w:keepNext w:val="0"/>
        <w:keepLines w:val="0"/>
        <w:spacing w:before="0" w:after="0" w:line="360" w:lineRule="auto"/>
        <w:ind w:firstLine="482" w:firstLineChars="200"/>
        <w:rPr>
          <w:rFonts w:ascii="宋体" w:hAnsi="宋体"/>
          <w:color w:val="auto"/>
          <w:sz w:val="24"/>
          <w:szCs w:val="24"/>
          <w:highlight w:val="none"/>
        </w:rPr>
      </w:pPr>
      <w:r>
        <w:rPr>
          <w:rFonts w:hint="eastAsia" w:ascii="宋体" w:hAnsi="宋体"/>
          <w:color w:val="auto"/>
          <w:sz w:val="24"/>
          <w:szCs w:val="24"/>
          <w:highlight w:val="none"/>
        </w:rPr>
        <w:t>28.合同转包（实质性要求）</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本采购项目严禁成交供应商将任何政府采购合同义务转包。本项目所称转包，是指成交供应商将政府采购合同义务转让给第三人，并退出现有政府采购合同当事人双方的权利义务关系，受让人（即第三人）成为政府采购合同的另一方当事人的行为。</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成交供应商转包的，视同拒绝履行政府采购合同义务，将依法追究法律责任。</w:t>
      </w:r>
    </w:p>
    <w:p>
      <w:pPr>
        <w:rPr>
          <w:rFonts w:ascii="宋体" w:hAnsi="宋体"/>
          <w:color w:val="auto"/>
          <w:sz w:val="24"/>
          <w:highlight w:val="none"/>
        </w:rPr>
      </w:pPr>
    </w:p>
    <w:p>
      <w:pPr>
        <w:pStyle w:val="6"/>
        <w:keepNext w:val="0"/>
        <w:keepLines w:val="0"/>
        <w:spacing w:before="0" w:after="0" w:line="360" w:lineRule="auto"/>
        <w:ind w:firstLine="482" w:firstLineChars="200"/>
        <w:rPr>
          <w:rFonts w:ascii="宋体" w:hAnsi="宋体"/>
          <w:color w:val="auto"/>
          <w:sz w:val="24"/>
          <w:szCs w:val="24"/>
          <w:highlight w:val="none"/>
        </w:rPr>
      </w:pPr>
      <w:r>
        <w:rPr>
          <w:rFonts w:hint="eastAsia" w:ascii="宋体" w:hAnsi="宋体"/>
          <w:color w:val="auto"/>
          <w:sz w:val="24"/>
          <w:szCs w:val="24"/>
          <w:highlight w:val="none"/>
        </w:rPr>
        <w:t>29.补充合同</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 xml:space="preserve">采购合同履行过程中，采购人需要追加与合同标的相同的货物或者服务的，在不改变合同其他条款的前提下，可以与成交供应商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 </w:t>
      </w:r>
    </w:p>
    <w:p>
      <w:pPr>
        <w:rPr>
          <w:rFonts w:ascii="宋体" w:hAnsi="宋体"/>
          <w:color w:val="auto"/>
          <w:sz w:val="24"/>
          <w:highlight w:val="none"/>
        </w:rPr>
      </w:pPr>
    </w:p>
    <w:p>
      <w:pPr>
        <w:pStyle w:val="6"/>
        <w:keepNext w:val="0"/>
        <w:keepLines w:val="0"/>
        <w:spacing w:before="0" w:after="0" w:line="360" w:lineRule="auto"/>
        <w:ind w:firstLine="482" w:firstLineChars="200"/>
        <w:rPr>
          <w:rFonts w:ascii="宋体" w:hAnsi="宋体"/>
          <w:color w:val="auto"/>
          <w:sz w:val="24"/>
          <w:szCs w:val="24"/>
          <w:highlight w:val="none"/>
        </w:rPr>
      </w:pPr>
      <w:r>
        <w:rPr>
          <w:rFonts w:hint="eastAsia" w:ascii="宋体" w:hAnsi="宋体"/>
          <w:color w:val="auto"/>
          <w:sz w:val="24"/>
          <w:szCs w:val="24"/>
          <w:highlight w:val="none"/>
        </w:rPr>
        <w:t>30.履约保证金（实质性要求）</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详见“供应商须知附表”。</w:t>
      </w:r>
    </w:p>
    <w:p>
      <w:pPr>
        <w:rPr>
          <w:rFonts w:ascii="宋体" w:hAnsi="宋体"/>
          <w:color w:val="auto"/>
          <w:sz w:val="24"/>
          <w:highlight w:val="none"/>
        </w:rPr>
      </w:pPr>
    </w:p>
    <w:p>
      <w:pPr>
        <w:pStyle w:val="6"/>
        <w:keepNext w:val="0"/>
        <w:keepLines w:val="0"/>
        <w:spacing w:before="0" w:after="0" w:line="360" w:lineRule="auto"/>
        <w:ind w:firstLine="482" w:firstLineChars="200"/>
        <w:rPr>
          <w:rFonts w:ascii="宋体" w:hAnsi="宋体"/>
          <w:color w:val="auto"/>
          <w:sz w:val="24"/>
          <w:szCs w:val="24"/>
          <w:highlight w:val="none"/>
        </w:rPr>
      </w:pPr>
      <w:r>
        <w:rPr>
          <w:rFonts w:hint="eastAsia" w:ascii="宋体" w:hAnsi="宋体"/>
          <w:color w:val="auto"/>
          <w:sz w:val="24"/>
          <w:szCs w:val="24"/>
          <w:highlight w:val="none"/>
        </w:rPr>
        <w:t>31.履行合同</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31.1成交供应商与采购人签订合同后，合同双方应严格执行合同条款，履行合同规定的义务，保证合同的顺利完成。</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31.2在合同履行过程中，如发生合同纠纷，合同双方应按照《合同法》的有关规定进行处理。</w:t>
      </w:r>
    </w:p>
    <w:p>
      <w:pPr>
        <w:rPr>
          <w:rFonts w:ascii="宋体" w:hAnsi="宋体"/>
          <w:color w:val="auto"/>
          <w:sz w:val="24"/>
          <w:highlight w:val="none"/>
        </w:rPr>
      </w:pPr>
    </w:p>
    <w:p>
      <w:pPr>
        <w:pStyle w:val="6"/>
        <w:keepNext w:val="0"/>
        <w:keepLines w:val="0"/>
        <w:spacing w:before="0" w:after="0" w:line="360" w:lineRule="auto"/>
        <w:ind w:firstLine="482" w:firstLineChars="200"/>
        <w:rPr>
          <w:rFonts w:ascii="宋体" w:hAnsi="宋体"/>
          <w:color w:val="auto"/>
          <w:sz w:val="24"/>
          <w:szCs w:val="24"/>
          <w:highlight w:val="none"/>
        </w:rPr>
      </w:pPr>
      <w:r>
        <w:rPr>
          <w:rFonts w:hint="eastAsia" w:ascii="宋体" w:hAnsi="宋体"/>
          <w:color w:val="auto"/>
          <w:sz w:val="24"/>
          <w:szCs w:val="24"/>
          <w:highlight w:val="none"/>
        </w:rPr>
        <w:t>32.验收</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本项目采购人及其委托的采购代理机构将严格按照政府采购相关法律法规以及《四川省政府采购项目需求论证和履约验收管理办法》（川财采〔2015〕32号）的要求进行验收。</w:t>
      </w:r>
    </w:p>
    <w:p>
      <w:pPr>
        <w:rPr>
          <w:rFonts w:ascii="宋体" w:hAnsi="宋体"/>
          <w:color w:val="auto"/>
          <w:sz w:val="24"/>
          <w:highlight w:val="none"/>
        </w:rPr>
      </w:pPr>
    </w:p>
    <w:p>
      <w:pPr>
        <w:pStyle w:val="6"/>
        <w:keepNext w:val="0"/>
        <w:keepLines w:val="0"/>
        <w:spacing w:before="0" w:after="0" w:line="360" w:lineRule="auto"/>
        <w:ind w:firstLine="482" w:firstLineChars="200"/>
        <w:rPr>
          <w:rFonts w:ascii="宋体" w:hAnsi="宋体"/>
          <w:color w:val="auto"/>
          <w:sz w:val="24"/>
          <w:szCs w:val="24"/>
          <w:highlight w:val="none"/>
        </w:rPr>
      </w:pPr>
      <w:r>
        <w:rPr>
          <w:rFonts w:hint="eastAsia" w:ascii="宋体" w:hAnsi="宋体"/>
          <w:color w:val="auto"/>
          <w:sz w:val="24"/>
          <w:szCs w:val="24"/>
          <w:highlight w:val="none"/>
        </w:rPr>
        <w:t>33.资金支付</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采购人将按照政府采购合同规定，及时向成交供应商支付采购资金。支付方式详见“第五章  采购项目技术、服务、政府采购合同内容条款及其他商务要求”</w:t>
      </w:r>
      <w:r>
        <w:rPr>
          <w:rFonts w:hint="eastAsia" w:ascii="宋体" w:hAnsi="宋体"/>
          <w:color w:val="auto"/>
          <w:sz w:val="24"/>
          <w:highlight w:val="none"/>
          <w:lang w:val="zh-TW"/>
        </w:rPr>
        <w:t>。</w:t>
      </w:r>
    </w:p>
    <w:p>
      <w:pPr>
        <w:pStyle w:val="5"/>
        <w:spacing w:before="0" w:after="0" w:line="360" w:lineRule="auto"/>
        <w:jc w:val="center"/>
        <w:rPr>
          <w:rFonts w:ascii="宋体" w:hAnsi="宋体"/>
          <w:color w:val="auto"/>
          <w:sz w:val="24"/>
          <w:highlight w:val="none"/>
        </w:rPr>
      </w:pPr>
      <w:bookmarkStart w:id="85" w:name="_Toc26946_WPSOffice_Level2"/>
      <w:r>
        <w:rPr>
          <w:rFonts w:hint="eastAsia"/>
          <w:color w:val="auto"/>
          <w:highlight w:val="none"/>
        </w:rPr>
        <w:t>八、磋商纪律要求</w:t>
      </w:r>
      <w:bookmarkEnd w:id="85"/>
    </w:p>
    <w:p>
      <w:pPr>
        <w:pStyle w:val="6"/>
        <w:keepNext w:val="0"/>
        <w:keepLines w:val="0"/>
        <w:spacing w:before="0" w:after="0" w:line="360" w:lineRule="auto"/>
        <w:ind w:firstLine="482" w:firstLineChars="200"/>
        <w:rPr>
          <w:rFonts w:ascii="宋体" w:hAnsi="宋体"/>
          <w:color w:val="auto"/>
          <w:sz w:val="24"/>
          <w:szCs w:val="24"/>
          <w:highlight w:val="none"/>
        </w:rPr>
      </w:pPr>
      <w:r>
        <w:rPr>
          <w:rFonts w:hint="eastAsia" w:ascii="宋体" w:hAnsi="宋体"/>
          <w:color w:val="auto"/>
          <w:sz w:val="24"/>
          <w:szCs w:val="24"/>
          <w:highlight w:val="none"/>
        </w:rPr>
        <w:t>34.供应商不得具有的情形</w:t>
      </w:r>
    </w:p>
    <w:p>
      <w:pPr>
        <w:tabs>
          <w:tab w:val="left" w:pos="851"/>
        </w:tabs>
        <w:spacing w:line="360" w:lineRule="auto"/>
        <w:ind w:firstLine="480" w:firstLineChars="200"/>
        <w:rPr>
          <w:rFonts w:ascii="宋体" w:hAnsi="宋体"/>
          <w:color w:val="auto"/>
          <w:sz w:val="24"/>
          <w:highlight w:val="none"/>
        </w:rPr>
      </w:pPr>
      <w:r>
        <w:rPr>
          <w:rFonts w:hint="eastAsia" w:ascii="宋体" w:hAnsi="宋体"/>
          <w:color w:val="auto"/>
          <w:sz w:val="24"/>
          <w:highlight w:val="none"/>
        </w:rPr>
        <w:t>供应商参加本项目磋商不得有下列情形：</w:t>
      </w:r>
    </w:p>
    <w:p>
      <w:pPr>
        <w:tabs>
          <w:tab w:val="left" w:pos="851"/>
        </w:tabs>
        <w:spacing w:line="360" w:lineRule="auto"/>
        <w:ind w:firstLine="480" w:firstLineChars="200"/>
        <w:rPr>
          <w:rFonts w:ascii="宋体" w:hAnsi="宋体"/>
          <w:color w:val="auto"/>
          <w:sz w:val="24"/>
          <w:highlight w:val="none"/>
        </w:rPr>
      </w:pPr>
      <w:r>
        <w:rPr>
          <w:rFonts w:hint="eastAsia" w:ascii="宋体" w:hAnsi="宋体"/>
          <w:color w:val="auto"/>
          <w:sz w:val="24"/>
          <w:highlight w:val="none"/>
        </w:rPr>
        <w:t>（1）提供虚假材料谋取成交；</w:t>
      </w:r>
    </w:p>
    <w:p>
      <w:pPr>
        <w:tabs>
          <w:tab w:val="left" w:pos="851"/>
        </w:tabs>
        <w:spacing w:line="360" w:lineRule="auto"/>
        <w:ind w:firstLine="480" w:firstLineChars="200"/>
        <w:rPr>
          <w:rFonts w:ascii="宋体" w:hAnsi="宋体"/>
          <w:color w:val="auto"/>
          <w:sz w:val="24"/>
          <w:highlight w:val="none"/>
        </w:rPr>
      </w:pPr>
      <w:r>
        <w:rPr>
          <w:rFonts w:hint="eastAsia" w:ascii="宋体" w:hAnsi="宋体"/>
          <w:color w:val="auto"/>
          <w:sz w:val="24"/>
          <w:highlight w:val="none"/>
        </w:rPr>
        <w:t>（2）采取不正当手段诋毁、排挤其他供应商；</w:t>
      </w:r>
    </w:p>
    <w:p>
      <w:pPr>
        <w:tabs>
          <w:tab w:val="left" w:pos="851"/>
        </w:tabs>
        <w:spacing w:line="360" w:lineRule="auto"/>
        <w:ind w:firstLine="480" w:firstLineChars="200"/>
        <w:rPr>
          <w:rFonts w:ascii="宋体" w:hAnsi="宋体"/>
          <w:color w:val="auto"/>
          <w:sz w:val="24"/>
          <w:highlight w:val="none"/>
        </w:rPr>
      </w:pPr>
      <w:r>
        <w:rPr>
          <w:rFonts w:hint="eastAsia" w:ascii="宋体" w:hAnsi="宋体"/>
          <w:color w:val="auto"/>
          <w:sz w:val="24"/>
          <w:highlight w:val="none"/>
        </w:rPr>
        <w:t>（3）与采购人、采购代理机构、或其他供应商恶意串通；</w:t>
      </w:r>
    </w:p>
    <w:p>
      <w:pPr>
        <w:tabs>
          <w:tab w:val="left" w:pos="851"/>
        </w:tabs>
        <w:spacing w:line="360" w:lineRule="auto"/>
        <w:ind w:firstLine="480" w:firstLineChars="200"/>
        <w:rPr>
          <w:rFonts w:ascii="宋体" w:hAnsi="宋体"/>
          <w:color w:val="auto"/>
          <w:sz w:val="24"/>
          <w:highlight w:val="none"/>
        </w:rPr>
      </w:pPr>
      <w:r>
        <w:rPr>
          <w:rFonts w:hint="eastAsia" w:ascii="宋体" w:hAnsi="宋体"/>
          <w:color w:val="auto"/>
          <w:sz w:val="24"/>
          <w:highlight w:val="none"/>
        </w:rPr>
        <w:t>（4）向采购人、采购代理机构、磋商小组成员行贿或者提供其他不正当利益；</w:t>
      </w:r>
    </w:p>
    <w:p>
      <w:pPr>
        <w:tabs>
          <w:tab w:val="left" w:pos="851"/>
        </w:tabs>
        <w:spacing w:line="360" w:lineRule="auto"/>
        <w:ind w:firstLine="480" w:firstLineChars="200"/>
        <w:rPr>
          <w:rFonts w:ascii="宋体" w:hAnsi="宋体"/>
          <w:color w:val="auto"/>
          <w:sz w:val="24"/>
          <w:highlight w:val="none"/>
        </w:rPr>
      </w:pPr>
      <w:r>
        <w:rPr>
          <w:rFonts w:hint="eastAsia" w:ascii="宋体" w:hAnsi="宋体"/>
          <w:color w:val="auto"/>
          <w:sz w:val="24"/>
          <w:highlight w:val="none"/>
        </w:rPr>
        <w:t>（5）在磋商过程中与采购人、采购代理机构进行协商；</w:t>
      </w:r>
    </w:p>
    <w:p>
      <w:pPr>
        <w:tabs>
          <w:tab w:val="left" w:pos="851"/>
        </w:tabs>
        <w:spacing w:line="360" w:lineRule="auto"/>
        <w:ind w:firstLine="480" w:firstLineChars="200"/>
        <w:rPr>
          <w:rFonts w:ascii="宋体" w:hAnsi="宋体"/>
          <w:color w:val="auto"/>
          <w:sz w:val="24"/>
          <w:highlight w:val="none"/>
        </w:rPr>
      </w:pPr>
      <w:r>
        <w:rPr>
          <w:rFonts w:hint="eastAsia" w:ascii="宋体" w:hAnsi="宋体"/>
          <w:color w:val="auto"/>
          <w:sz w:val="24"/>
          <w:highlight w:val="none"/>
        </w:rPr>
        <w:t>（6）成交后无正当理由拒不与采购人签订政府采购合同；</w:t>
      </w:r>
    </w:p>
    <w:p>
      <w:pPr>
        <w:tabs>
          <w:tab w:val="left" w:pos="851"/>
        </w:tabs>
        <w:spacing w:line="360" w:lineRule="auto"/>
        <w:ind w:firstLine="480" w:firstLineChars="200"/>
        <w:rPr>
          <w:rFonts w:ascii="宋体" w:hAnsi="宋体"/>
          <w:color w:val="auto"/>
          <w:sz w:val="24"/>
          <w:highlight w:val="none"/>
        </w:rPr>
      </w:pPr>
      <w:r>
        <w:rPr>
          <w:rFonts w:hint="eastAsia" w:ascii="宋体" w:hAnsi="宋体"/>
          <w:color w:val="auto"/>
          <w:sz w:val="24"/>
          <w:highlight w:val="none"/>
        </w:rPr>
        <w:t>（7）未按照磋商文件确定的事项签订政府采购合同；</w:t>
      </w:r>
    </w:p>
    <w:p>
      <w:pPr>
        <w:tabs>
          <w:tab w:val="left" w:pos="851"/>
        </w:tabs>
        <w:spacing w:line="360" w:lineRule="auto"/>
        <w:ind w:firstLine="480" w:firstLineChars="200"/>
        <w:rPr>
          <w:rFonts w:ascii="宋体" w:hAnsi="宋体"/>
          <w:color w:val="auto"/>
          <w:sz w:val="24"/>
          <w:highlight w:val="none"/>
        </w:rPr>
      </w:pPr>
      <w:r>
        <w:rPr>
          <w:rFonts w:hint="eastAsia" w:ascii="宋体" w:hAnsi="宋体"/>
          <w:color w:val="auto"/>
          <w:sz w:val="24"/>
          <w:highlight w:val="none"/>
        </w:rPr>
        <w:t>（8）将政府采购合同转包或者违规分包；</w:t>
      </w:r>
    </w:p>
    <w:p>
      <w:pPr>
        <w:tabs>
          <w:tab w:val="left" w:pos="851"/>
        </w:tabs>
        <w:spacing w:line="360" w:lineRule="auto"/>
        <w:ind w:firstLine="480" w:firstLineChars="200"/>
        <w:rPr>
          <w:rFonts w:ascii="宋体" w:hAnsi="宋体"/>
          <w:color w:val="auto"/>
          <w:sz w:val="24"/>
          <w:highlight w:val="none"/>
        </w:rPr>
      </w:pPr>
      <w:r>
        <w:rPr>
          <w:rFonts w:hint="eastAsia" w:ascii="宋体" w:hAnsi="宋体"/>
          <w:color w:val="auto"/>
          <w:sz w:val="24"/>
          <w:highlight w:val="none"/>
        </w:rPr>
        <w:t>（9）提供假冒伪劣产品；</w:t>
      </w:r>
    </w:p>
    <w:p>
      <w:pPr>
        <w:tabs>
          <w:tab w:val="left" w:pos="851"/>
        </w:tabs>
        <w:spacing w:line="360" w:lineRule="auto"/>
        <w:ind w:firstLine="480" w:firstLineChars="200"/>
        <w:rPr>
          <w:rFonts w:ascii="宋体" w:hAnsi="宋体"/>
          <w:color w:val="auto"/>
          <w:sz w:val="24"/>
          <w:highlight w:val="none"/>
        </w:rPr>
      </w:pPr>
      <w:r>
        <w:rPr>
          <w:rFonts w:hint="eastAsia" w:ascii="宋体" w:hAnsi="宋体"/>
          <w:color w:val="auto"/>
          <w:sz w:val="24"/>
          <w:highlight w:val="none"/>
        </w:rPr>
        <w:t>（10）擅自变更、中止或者终止政府采购合同；</w:t>
      </w:r>
    </w:p>
    <w:p>
      <w:pPr>
        <w:tabs>
          <w:tab w:val="left" w:pos="851"/>
        </w:tabs>
        <w:spacing w:line="360" w:lineRule="auto"/>
        <w:ind w:firstLine="480" w:firstLineChars="200"/>
        <w:rPr>
          <w:rFonts w:ascii="宋体" w:hAnsi="宋体"/>
          <w:color w:val="auto"/>
          <w:sz w:val="24"/>
          <w:highlight w:val="none"/>
        </w:rPr>
      </w:pPr>
      <w:r>
        <w:rPr>
          <w:rFonts w:hint="eastAsia" w:ascii="宋体" w:hAnsi="宋体"/>
          <w:color w:val="auto"/>
          <w:sz w:val="24"/>
          <w:highlight w:val="none"/>
        </w:rPr>
        <w:t>（11）拒绝有关部门的监督检查或者向监督检查部门提供虚假情况；</w:t>
      </w:r>
    </w:p>
    <w:p>
      <w:pPr>
        <w:tabs>
          <w:tab w:val="left" w:pos="851"/>
        </w:tabs>
        <w:spacing w:line="360" w:lineRule="auto"/>
        <w:ind w:firstLine="480" w:firstLineChars="200"/>
        <w:rPr>
          <w:rFonts w:ascii="宋体" w:hAnsi="宋体"/>
          <w:color w:val="auto"/>
          <w:sz w:val="24"/>
          <w:highlight w:val="none"/>
        </w:rPr>
      </w:pPr>
      <w:r>
        <w:rPr>
          <w:rFonts w:hint="eastAsia" w:ascii="宋体" w:hAnsi="宋体"/>
          <w:color w:val="auto"/>
          <w:sz w:val="24"/>
          <w:highlight w:val="none"/>
        </w:rPr>
        <w:t>（12）法律法规规定的其他情形。</w:t>
      </w:r>
    </w:p>
    <w:p>
      <w:pPr>
        <w:tabs>
          <w:tab w:val="left" w:pos="851"/>
        </w:tabs>
        <w:spacing w:line="360" w:lineRule="auto"/>
        <w:ind w:firstLine="480" w:firstLineChars="200"/>
        <w:rPr>
          <w:rFonts w:ascii="宋体" w:hAnsi="宋体"/>
          <w:color w:val="auto"/>
          <w:sz w:val="24"/>
          <w:highlight w:val="none"/>
        </w:rPr>
      </w:pPr>
      <w:r>
        <w:rPr>
          <w:rFonts w:hint="eastAsia" w:ascii="宋体" w:hAnsi="宋体"/>
          <w:color w:val="auto"/>
          <w:sz w:val="24"/>
          <w:highlight w:val="none"/>
        </w:rPr>
        <w:t>供应商有上述情形的，按照规定追究法律责任，具备（1）-（10）条情形之一的，同时将取消被确认为成交供应商的资格或者认定成交无效。</w:t>
      </w:r>
    </w:p>
    <w:p>
      <w:pPr>
        <w:pStyle w:val="5"/>
        <w:spacing w:before="0" w:after="0" w:line="360" w:lineRule="auto"/>
        <w:jc w:val="center"/>
        <w:rPr>
          <w:color w:val="auto"/>
          <w:highlight w:val="none"/>
        </w:rPr>
      </w:pPr>
      <w:bookmarkStart w:id="86" w:name="_Toc8729_WPSOffice_Level2"/>
      <w:r>
        <w:rPr>
          <w:rFonts w:hint="eastAsia"/>
          <w:color w:val="auto"/>
          <w:highlight w:val="none"/>
        </w:rPr>
        <w:t>九、询问、质疑和投诉</w:t>
      </w:r>
      <w:bookmarkEnd w:id="86"/>
    </w:p>
    <w:p>
      <w:pPr>
        <w:tabs>
          <w:tab w:val="left" w:pos="851"/>
        </w:tabs>
        <w:spacing w:line="360" w:lineRule="auto"/>
        <w:ind w:firstLine="495"/>
        <w:rPr>
          <w:rFonts w:ascii="宋体" w:hAnsi="宋体"/>
          <w:color w:val="auto"/>
          <w:sz w:val="24"/>
          <w:highlight w:val="none"/>
        </w:rPr>
      </w:pPr>
      <w:r>
        <w:rPr>
          <w:rFonts w:hint="eastAsia" w:ascii="宋体" w:hAnsi="宋体"/>
          <w:color w:val="auto"/>
          <w:sz w:val="24"/>
          <w:highlight w:val="none"/>
        </w:rPr>
        <w:t>35.询问、质疑、投诉的接收和处理严格按照《中华人共和国政府采购法》、《中华人民共和国政府采购法实施条例》、《财政部关于加强政府采购供应商投诉受理审查工作的通知》和四川省的有关规定办理（详细规定请在中国政府采购网政策法规模块查询）。</w:t>
      </w:r>
    </w:p>
    <w:p>
      <w:pPr>
        <w:pStyle w:val="5"/>
        <w:spacing w:before="0" w:after="0" w:line="360" w:lineRule="auto"/>
        <w:jc w:val="center"/>
        <w:rPr>
          <w:color w:val="auto"/>
          <w:highlight w:val="none"/>
        </w:rPr>
      </w:pPr>
      <w:bookmarkStart w:id="87" w:name="_Toc25233_WPSOffice_Level2"/>
      <w:r>
        <w:rPr>
          <w:rFonts w:hint="eastAsia"/>
          <w:color w:val="auto"/>
          <w:highlight w:val="none"/>
        </w:rPr>
        <w:t>十、其  他</w:t>
      </w:r>
      <w:bookmarkEnd w:id="87"/>
    </w:p>
    <w:p>
      <w:pPr>
        <w:tabs>
          <w:tab w:val="left" w:pos="851"/>
        </w:tabs>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36.本磋商文件中所引相关法律制度规定，在政府采购中有变化的，按照变化后的相关法律制度规定执行。本章规定的内容条款，在本项目递交响应文件截止时间届满后，因相关法律制度规定的变化导致不符合相关法律制度规定的，直接按照变化后的相关法律制度规定执行，本磋商文件不再做调整。</w:t>
      </w:r>
    </w:p>
    <w:p>
      <w:pPr>
        <w:spacing w:line="360" w:lineRule="auto"/>
        <w:ind w:firstLine="480" w:firstLineChars="200"/>
        <w:jc w:val="left"/>
        <w:rPr>
          <w:rFonts w:ascii="宋体" w:hAnsi="宋体"/>
          <w:color w:val="auto"/>
          <w:kern w:val="0"/>
          <w:sz w:val="24"/>
          <w:highlight w:val="none"/>
        </w:rPr>
      </w:pPr>
      <w:r>
        <w:rPr>
          <w:rFonts w:hint="eastAsia" w:ascii="宋体" w:hAnsi="宋体"/>
          <w:color w:val="auto"/>
          <w:sz w:val="24"/>
          <w:highlight w:val="none"/>
        </w:rPr>
        <w:t>37.</w:t>
      </w:r>
      <w:r>
        <w:rPr>
          <w:rFonts w:hint="eastAsia" w:ascii="宋体" w:hAnsi="宋体"/>
          <w:b/>
          <w:color w:val="auto"/>
          <w:sz w:val="24"/>
          <w:highlight w:val="none"/>
        </w:rPr>
        <w:t>（实质性要求）</w:t>
      </w:r>
      <w:r>
        <w:rPr>
          <w:rFonts w:ascii="宋体" w:hAnsi="宋体"/>
          <w:color w:val="auto"/>
          <w:sz w:val="24"/>
          <w:highlight w:val="none"/>
        </w:rPr>
        <w:t>国家</w:t>
      </w:r>
      <w:r>
        <w:rPr>
          <w:rFonts w:hint="eastAsia" w:ascii="宋体" w:hAnsi="宋体"/>
          <w:color w:val="auto"/>
          <w:sz w:val="24"/>
          <w:highlight w:val="none"/>
        </w:rPr>
        <w:t>或行业主管部门</w:t>
      </w:r>
      <w:r>
        <w:rPr>
          <w:rFonts w:ascii="宋体" w:hAnsi="宋体"/>
          <w:color w:val="auto"/>
          <w:sz w:val="24"/>
          <w:highlight w:val="none"/>
        </w:rPr>
        <w:t>对</w:t>
      </w:r>
      <w:r>
        <w:rPr>
          <w:rFonts w:hint="eastAsia" w:ascii="宋体" w:hAnsi="宋体"/>
          <w:color w:val="auto"/>
          <w:sz w:val="24"/>
          <w:highlight w:val="none"/>
        </w:rPr>
        <w:t>供应商和采购产品的</w:t>
      </w:r>
      <w:r>
        <w:rPr>
          <w:rFonts w:ascii="宋体" w:hAnsi="宋体"/>
          <w:color w:val="auto"/>
          <w:sz w:val="24"/>
          <w:highlight w:val="none"/>
        </w:rPr>
        <w:t>技术</w:t>
      </w:r>
      <w:r>
        <w:rPr>
          <w:rFonts w:hint="eastAsia" w:ascii="宋体" w:hAnsi="宋体"/>
          <w:color w:val="auto"/>
          <w:sz w:val="24"/>
          <w:highlight w:val="none"/>
        </w:rPr>
        <w:t>标准、</w:t>
      </w:r>
      <w:r>
        <w:rPr>
          <w:rFonts w:ascii="宋体" w:hAnsi="宋体"/>
          <w:color w:val="auto"/>
          <w:sz w:val="24"/>
          <w:highlight w:val="none"/>
        </w:rPr>
        <w:t>质量</w:t>
      </w:r>
      <w:r>
        <w:rPr>
          <w:rFonts w:hint="eastAsia" w:ascii="宋体" w:hAnsi="宋体"/>
          <w:color w:val="auto"/>
          <w:sz w:val="24"/>
          <w:highlight w:val="none"/>
        </w:rPr>
        <w:t>标准和资格资质条件</w:t>
      </w:r>
      <w:r>
        <w:rPr>
          <w:rFonts w:ascii="宋体" w:hAnsi="宋体"/>
          <w:color w:val="auto"/>
          <w:sz w:val="24"/>
          <w:highlight w:val="none"/>
        </w:rPr>
        <w:t>等有</w:t>
      </w:r>
      <w:r>
        <w:rPr>
          <w:rFonts w:hint="eastAsia" w:ascii="宋体" w:hAnsi="宋体"/>
          <w:color w:val="auto"/>
          <w:sz w:val="24"/>
          <w:highlight w:val="none"/>
        </w:rPr>
        <w:t>强制性规定</w:t>
      </w:r>
      <w:r>
        <w:rPr>
          <w:rFonts w:ascii="宋体" w:hAnsi="宋体"/>
          <w:color w:val="auto"/>
          <w:sz w:val="24"/>
          <w:highlight w:val="none"/>
        </w:rPr>
        <w:t>的</w:t>
      </w:r>
      <w:r>
        <w:rPr>
          <w:rFonts w:hint="eastAsia" w:ascii="宋体" w:hAnsi="宋体"/>
          <w:color w:val="auto"/>
          <w:sz w:val="24"/>
          <w:highlight w:val="none"/>
        </w:rPr>
        <w:t>，必须符合其要求。</w:t>
      </w:r>
    </w:p>
    <w:p>
      <w:pPr>
        <w:spacing w:line="360" w:lineRule="auto"/>
        <w:ind w:firstLine="480" w:firstLineChars="200"/>
        <w:jc w:val="left"/>
        <w:rPr>
          <w:rFonts w:ascii="宋体" w:hAnsi="宋体"/>
          <w:color w:val="auto"/>
          <w:sz w:val="24"/>
          <w:highlight w:val="none"/>
        </w:rPr>
      </w:pPr>
      <w:bookmarkStart w:id="88" w:name="_Toc9334"/>
      <w:bookmarkStart w:id="89" w:name="_Toc5647"/>
      <w:r>
        <w:rPr>
          <w:rFonts w:hint="eastAsia" w:ascii="宋体" w:hAnsi="宋体"/>
          <w:color w:val="auto"/>
          <w:sz w:val="24"/>
          <w:highlight w:val="none"/>
        </w:rPr>
        <w:t>38.采用竞争性磋商采购方式采购的政府购买服务项目（含政府和社会资本合作项目），在采购过程中符合要求的供应商（社会资本）只有2家的，竞争性磋商采购活动可以继续进行。</w:t>
      </w:r>
      <w:bookmarkEnd w:id="88"/>
      <w:bookmarkEnd w:id="89"/>
      <w:bookmarkStart w:id="90" w:name="_Toc19505"/>
      <w:bookmarkStart w:id="91" w:name="_Toc23044"/>
      <w:r>
        <w:rPr>
          <w:rFonts w:hint="eastAsia" w:ascii="宋体" w:hAnsi="宋体"/>
          <w:color w:val="auto"/>
          <w:sz w:val="24"/>
          <w:highlight w:val="none"/>
        </w:rPr>
        <w:t>磋商小组按采购文件要求向采购人推荐2名成交候选供应商并依次排序，采购人按照磋商小组推荐的成交候选供应商顺序确定成交供应商。</w:t>
      </w:r>
      <w:bookmarkEnd w:id="90"/>
      <w:bookmarkEnd w:id="91"/>
    </w:p>
    <w:p>
      <w:pPr>
        <w:rPr>
          <w:color w:val="auto"/>
          <w:highlight w:val="none"/>
        </w:rPr>
      </w:pPr>
    </w:p>
    <w:p>
      <w:pPr>
        <w:pStyle w:val="3"/>
        <w:spacing w:before="0" w:after="0" w:line="360" w:lineRule="auto"/>
        <w:jc w:val="center"/>
        <w:rPr>
          <w:color w:val="auto"/>
          <w:highlight w:val="none"/>
        </w:rPr>
      </w:pPr>
      <w:r>
        <w:rPr>
          <w:rFonts w:hint="eastAsia"/>
          <w:color w:val="auto"/>
          <w:highlight w:val="none"/>
        </w:rPr>
        <w:br w:type="page"/>
      </w:r>
      <w:bookmarkStart w:id="92" w:name="_Toc15229_WPSOffice_Level1"/>
      <w:bookmarkStart w:id="93" w:name="_Toc1712_WPSOffice_Level1"/>
      <w:bookmarkStart w:id="94" w:name="_Toc31574"/>
      <w:r>
        <w:rPr>
          <w:rFonts w:hint="eastAsia"/>
          <w:color w:val="auto"/>
          <w:highlight w:val="none"/>
        </w:rPr>
        <w:t>第三章  供应商资格条件要求</w:t>
      </w:r>
      <w:bookmarkEnd w:id="92"/>
      <w:bookmarkEnd w:id="93"/>
      <w:bookmarkEnd w:id="94"/>
    </w:p>
    <w:p>
      <w:pPr>
        <w:pStyle w:val="5"/>
        <w:keepNext w:val="0"/>
        <w:keepLines w:val="0"/>
        <w:spacing w:before="0" w:after="0"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一、供应商资格、资质性及其他类似效力要求</w:t>
      </w:r>
    </w:p>
    <w:p>
      <w:pPr>
        <w:spacing w:line="360" w:lineRule="auto"/>
        <w:ind w:firstLine="482" w:firstLineChars="200"/>
        <w:rPr>
          <w:rFonts w:ascii="宋体" w:hAnsi="宋体"/>
          <w:b/>
          <w:bCs/>
          <w:color w:val="auto"/>
          <w:sz w:val="24"/>
          <w:highlight w:val="none"/>
        </w:rPr>
      </w:pPr>
      <w:bookmarkStart w:id="95" w:name="_Toc9860_WPSOffice_Level2"/>
      <w:bookmarkStart w:id="96" w:name="_Toc24503_WPSOffice_Level2"/>
      <w:r>
        <w:rPr>
          <w:rFonts w:hint="eastAsia" w:ascii="宋体" w:hAnsi="宋体"/>
          <w:b/>
          <w:bCs/>
          <w:color w:val="auto"/>
          <w:sz w:val="24"/>
          <w:highlight w:val="none"/>
        </w:rPr>
        <w:t>（一）资格要求：</w:t>
      </w:r>
      <w:bookmarkEnd w:id="95"/>
      <w:bookmarkEnd w:id="96"/>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1、具备《中华人民共和国政府采购法》第二十二条第一款规定的条件：</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（1）具有独立承担民事责任的能力；</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（2）具有良好的商业信誉和健全的财务会计制度；</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（3）具有履行合同所必需的设备和专业技术能力；</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（4）有依法缴纳税收和社会保障资金的良好记录；</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（5）参加政府采购活动前三年内，在经营活动中没有重大违法记录；</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（6）法律、行政法规规定的其他条件。</w:t>
      </w:r>
    </w:p>
    <w:p>
      <w:pPr>
        <w:spacing w:line="360" w:lineRule="auto"/>
        <w:ind w:firstLine="482" w:firstLineChars="200"/>
        <w:rPr>
          <w:rFonts w:ascii="宋体" w:hAnsi="宋体"/>
          <w:b/>
          <w:bCs/>
          <w:color w:val="auto"/>
          <w:sz w:val="24"/>
          <w:highlight w:val="none"/>
        </w:rPr>
      </w:pPr>
      <w:bookmarkStart w:id="97" w:name="_Toc11574_WPSOffice_Level2"/>
      <w:bookmarkStart w:id="98" w:name="_Toc12093_WPSOffice_Level2"/>
      <w:r>
        <w:rPr>
          <w:rFonts w:hint="eastAsia" w:ascii="宋体" w:hAnsi="宋体"/>
          <w:b/>
          <w:bCs/>
          <w:color w:val="auto"/>
          <w:sz w:val="24"/>
          <w:highlight w:val="none"/>
        </w:rPr>
        <w:t>（二）根据采购项目提出的特殊条件：</w:t>
      </w:r>
      <w:bookmarkEnd w:id="97"/>
      <w:bookmarkEnd w:id="98"/>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（1）供应商及其现任法定代表人（非法人机构则为主要负责人）不得具有行贿犯罪记录；</w:t>
      </w:r>
    </w:p>
    <w:p>
      <w:pPr>
        <w:spacing w:line="360" w:lineRule="auto"/>
        <w:ind w:firstLine="480" w:firstLineChars="200"/>
        <w:rPr>
          <w:color w:val="auto"/>
          <w:sz w:val="24"/>
          <w:highlight w:val="none"/>
        </w:rPr>
      </w:pPr>
      <w:r>
        <w:rPr>
          <w:rFonts w:hint="eastAsia" w:ascii="宋体" w:hAnsi="宋体"/>
          <w:color w:val="auto"/>
          <w:sz w:val="24"/>
          <w:highlight w:val="none"/>
          <w:lang w:eastAsia="zh-CN"/>
        </w:rPr>
        <w:t>（</w:t>
      </w:r>
      <w:r>
        <w:rPr>
          <w:rFonts w:hint="eastAsia" w:ascii="宋体" w:hAnsi="宋体"/>
          <w:color w:val="auto"/>
          <w:sz w:val="24"/>
          <w:highlight w:val="none"/>
          <w:lang w:val="en-US" w:eastAsia="zh-CN"/>
        </w:rPr>
        <w:t>2</w:t>
      </w:r>
      <w:r>
        <w:rPr>
          <w:rFonts w:hint="eastAsia" w:ascii="宋体" w:hAnsi="宋体"/>
          <w:color w:val="auto"/>
          <w:sz w:val="24"/>
          <w:highlight w:val="none"/>
          <w:lang w:eastAsia="zh-CN"/>
        </w:rPr>
        <w:t>）</w:t>
      </w:r>
      <w:r>
        <w:rPr>
          <w:rFonts w:hint="eastAsia" w:ascii="宋体" w:hAnsi="宋体"/>
          <w:color w:val="auto"/>
          <w:sz w:val="24"/>
          <w:highlight w:val="none"/>
        </w:rPr>
        <w:t>本次磋商不接受联合体响应。</w:t>
      </w:r>
    </w:p>
    <w:p>
      <w:pPr>
        <w:spacing w:line="360" w:lineRule="auto"/>
        <w:ind w:firstLine="482" w:firstLineChars="200"/>
        <w:rPr>
          <w:rFonts w:ascii="宋体" w:hAnsi="宋体"/>
          <w:b/>
          <w:bCs/>
          <w:color w:val="auto"/>
          <w:sz w:val="24"/>
          <w:highlight w:val="none"/>
        </w:rPr>
      </w:pPr>
      <w:bookmarkStart w:id="99" w:name="_Toc12366_WPSOffice_Level2"/>
      <w:bookmarkStart w:id="100" w:name="_Toc8836_WPSOffice_Level2"/>
      <w:r>
        <w:rPr>
          <w:rFonts w:hint="eastAsia" w:ascii="宋体" w:hAnsi="宋体"/>
          <w:b/>
          <w:bCs/>
          <w:color w:val="auto"/>
          <w:sz w:val="24"/>
          <w:highlight w:val="none"/>
        </w:rPr>
        <w:t>（三）其他类似效力要求：</w:t>
      </w:r>
      <w:bookmarkEnd w:id="99"/>
      <w:bookmarkEnd w:id="100"/>
    </w:p>
    <w:p>
      <w:pPr>
        <w:spacing w:line="360" w:lineRule="auto"/>
        <w:ind w:firstLine="480" w:firstLineChars="200"/>
        <w:rPr>
          <w:rFonts w:ascii="宋体" w:hAnsi="宋体"/>
          <w:color w:val="auto"/>
          <w:sz w:val="24"/>
          <w:highlight w:val="none"/>
        </w:rPr>
      </w:pPr>
      <w:bookmarkStart w:id="101" w:name="_Toc443658843"/>
      <w:r>
        <w:rPr>
          <w:rFonts w:hint="eastAsia" w:ascii="宋体" w:hAnsi="宋体"/>
          <w:color w:val="auto"/>
          <w:sz w:val="24"/>
          <w:highlight w:val="none"/>
        </w:rPr>
        <w:t>（1）参加本次磋商活动代表的证明材料。</w:t>
      </w:r>
    </w:p>
    <w:p>
      <w:pPr>
        <w:spacing w:line="360" w:lineRule="auto"/>
        <w:rPr>
          <w:rFonts w:ascii="宋体" w:hAnsi="宋体"/>
          <w:color w:val="auto"/>
          <w:sz w:val="24"/>
          <w:highlight w:val="none"/>
        </w:rPr>
      </w:pPr>
    </w:p>
    <w:p>
      <w:pPr>
        <w:pStyle w:val="5"/>
        <w:keepNext w:val="0"/>
        <w:keepLines w:val="0"/>
        <w:spacing w:before="0" w:after="0"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二、报价产品的资格、资质性及其他类似效力要求</w:t>
      </w:r>
      <w:bookmarkEnd w:id="101"/>
      <w:r>
        <w:rPr>
          <w:rFonts w:hint="eastAsia" w:ascii="宋体" w:hAnsi="宋体" w:eastAsia="宋体"/>
          <w:color w:val="auto"/>
          <w:sz w:val="24"/>
          <w:szCs w:val="24"/>
          <w:highlight w:val="none"/>
        </w:rPr>
        <w:t>：无。</w:t>
      </w:r>
    </w:p>
    <w:p>
      <w:pPr>
        <w:spacing w:line="360" w:lineRule="auto"/>
        <w:ind w:firstLine="480" w:firstLineChars="200"/>
        <w:rPr>
          <w:rFonts w:ascii="宋体" w:hAnsi="宋体"/>
          <w:color w:val="auto"/>
          <w:sz w:val="24"/>
          <w:highlight w:val="none"/>
        </w:rPr>
      </w:pP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注：1、重大违法记录是指供应商因违法经营受到刑事处罚或者贵令停产停业、吊销许可证成者执照、较大数额罚款等行政处罚。供应商在参加政府采购活动前3年内因违法经营被禁止在一定期限内参加政府采购活动,期限届满的,可以参加政府采购活动。</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供应商在参加政府采购活动前，被纳入法院、工商行政管理部门、税务部门、银行认定的失信名单且在有效期内，或者在前三年政府采购合同履约过程中及其他经营活动履约过程中未依法履约被有关行政部门处罚（处理）的，本项目不认定其具有良好的商业信誉。若提供虚假承诺将被视为虚假响应,取消成交资格。</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3、重大违法记录中的较大数额罚款的具体金额标准是:若采购项目所属行业行政主管部门对较大数额罚款金额标准有明文规定的,以所属行业行政主管部门规定的较大数额罚款金额标准为准:若采购项目所属行业行政主管部门对较大数额罚款金额标准未明文规定的,以《四川省行政处罚听证程序规定》(四川省人民政府令第317号)规定的行政处罚罚款听证标准金额为准。</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4、供应商应对其所提供的资格证明材料来源的合法性、真实性承担法律责任。</w:t>
      </w:r>
    </w:p>
    <w:p>
      <w:pPr>
        <w:pStyle w:val="3"/>
        <w:spacing w:before="0" w:after="0" w:line="360" w:lineRule="auto"/>
        <w:jc w:val="center"/>
        <w:rPr>
          <w:rFonts w:hAnsi="宋体"/>
          <w:color w:val="auto"/>
          <w:sz w:val="28"/>
          <w:szCs w:val="28"/>
          <w:highlight w:val="none"/>
        </w:rPr>
      </w:pPr>
      <w:r>
        <w:rPr>
          <w:rFonts w:hint="eastAsia"/>
          <w:color w:val="auto"/>
          <w:highlight w:val="none"/>
        </w:rPr>
        <w:br w:type="page"/>
      </w:r>
      <w:bookmarkStart w:id="102" w:name="_Toc8156_WPSOffice_Level1"/>
      <w:bookmarkStart w:id="103" w:name="_Toc23843"/>
      <w:bookmarkStart w:id="104" w:name="_Toc1390_WPSOffice_Level1"/>
      <w:r>
        <w:rPr>
          <w:rFonts w:hint="eastAsia"/>
          <w:color w:val="auto"/>
          <w:highlight w:val="none"/>
        </w:rPr>
        <w:t>第四章  供应商资格证明材料</w:t>
      </w:r>
      <w:bookmarkEnd w:id="102"/>
      <w:bookmarkEnd w:id="103"/>
      <w:bookmarkEnd w:id="104"/>
    </w:p>
    <w:p>
      <w:pPr>
        <w:pStyle w:val="5"/>
        <w:keepNext w:val="0"/>
        <w:keepLines w:val="0"/>
        <w:spacing w:before="0" w:after="0" w:line="360" w:lineRule="auto"/>
        <w:rPr>
          <w:rFonts w:ascii="宋体" w:hAnsi="宋体" w:eastAsia="宋体"/>
          <w:color w:val="auto"/>
          <w:sz w:val="24"/>
          <w:szCs w:val="24"/>
          <w:highlight w:val="none"/>
        </w:rPr>
      </w:pPr>
      <w:bookmarkStart w:id="105" w:name="_Toc2507_WPSOffice_Level2"/>
      <w:bookmarkStart w:id="106" w:name="_Toc29661_WPSOffice_Level2"/>
      <w:r>
        <w:rPr>
          <w:rFonts w:hint="eastAsia" w:ascii="宋体" w:hAnsi="宋体" w:eastAsia="宋体"/>
          <w:color w:val="auto"/>
          <w:sz w:val="24"/>
          <w:szCs w:val="24"/>
          <w:highlight w:val="none"/>
        </w:rPr>
        <w:t>一、应当提供的供应商资格、资质性及其他类似效力要求的相关证明材料</w:t>
      </w:r>
      <w:bookmarkEnd w:id="105"/>
      <w:bookmarkEnd w:id="106"/>
    </w:p>
    <w:p>
      <w:pPr>
        <w:tabs>
          <w:tab w:val="left" w:pos="7665"/>
        </w:tabs>
        <w:snapToGrid w:val="0"/>
        <w:spacing w:line="360" w:lineRule="auto"/>
        <w:ind w:firstLine="482" w:firstLineChars="200"/>
        <w:rPr>
          <w:rFonts w:ascii="宋体" w:hAnsi="宋体" w:cs="宋体"/>
          <w:b/>
          <w:bCs/>
          <w:color w:val="auto"/>
          <w:sz w:val="24"/>
          <w:highlight w:val="none"/>
        </w:rPr>
      </w:pPr>
      <w:bookmarkStart w:id="107" w:name="_Toc443658848"/>
      <w:r>
        <w:rPr>
          <w:rFonts w:hint="eastAsia" w:ascii="宋体" w:hAnsi="宋体" w:cs="宋体"/>
          <w:b/>
          <w:bCs/>
          <w:color w:val="auto"/>
          <w:sz w:val="24"/>
          <w:highlight w:val="none"/>
        </w:rPr>
        <w:t>（一）《中华人民共和国政府采购法》第二十二条第一款第（一）至（六）规定的条件：</w:t>
      </w:r>
    </w:p>
    <w:p>
      <w:pPr>
        <w:tabs>
          <w:tab w:val="left" w:pos="7665"/>
        </w:tabs>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注：①供应商若为企业法人：提供“统一社会信用代码营业执照”；未换证的提供“营业执照、税务登记证、组织机构代码证”；②若为事业法人：提供“统一社会信用代码法人登记证书”；未换证的提交“事业法人登记证书、组织机构代码证”；③若为其他组织：提供“对应主管部门颁发的准许执业证明文件或营业执照”；④若为自然人：提供“身份证明文件”。以上均提供副本复印件）。</w:t>
      </w:r>
    </w:p>
    <w:p>
      <w:pPr>
        <w:tabs>
          <w:tab w:val="left" w:pos="7665"/>
        </w:tabs>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（2）具备健全的财务会计制度的证明材料。（①可提供2019</w:t>
      </w:r>
      <w:r>
        <w:rPr>
          <w:rFonts w:hint="eastAsia" w:ascii="宋体" w:hAnsi="宋体" w:cs="宋体"/>
          <w:color w:val="auto"/>
          <w:sz w:val="24"/>
          <w:highlight w:val="none"/>
          <w:lang w:val="en-US" w:eastAsia="zh-CN"/>
        </w:rPr>
        <w:t>或2020</w:t>
      </w:r>
      <w:r>
        <w:rPr>
          <w:rFonts w:hint="eastAsia" w:ascii="宋体" w:hAnsi="宋体" w:cs="宋体"/>
          <w:color w:val="auto"/>
          <w:sz w:val="24"/>
          <w:highlight w:val="none"/>
        </w:rPr>
        <w:t>年经审计的财务报告复印件（至少包含审计报告和审计报告中所涉及的财务报表和报表附注）；②也可提供2019</w:t>
      </w:r>
      <w:r>
        <w:rPr>
          <w:rFonts w:hint="eastAsia" w:ascii="宋体" w:hAnsi="宋体" w:cs="宋体"/>
          <w:color w:val="auto"/>
          <w:sz w:val="24"/>
          <w:highlight w:val="none"/>
          <w:lang w:val="en-US" w:eastAsia="zh-CN"/>
        </w:rPr>
        <w:t>或2020</w:t>
      </w:r>
      <w:r>
        <w:rPr>
          <w:rFonts w:hint="eastAsia" w:ascii="宋体" w:hAnsi="宋体" w:cs="宋体"/>
          <w:color w:val="auto"/>
          <w:sz w:val="24"/>
          <w:highlight w:val="none"/>
        </w:rPr>
        <w:t>年供应商内部的任1个月财务报表复印件（至少包含资产负债表）；③也可提供距文件递交截止日一年内银行出具的资信证明（复印件）；④供应商注册时间至文件递交截止日不足1年的，也可提供在工商备案的公司章程（复印件）</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⑤</w:t>
      </w:r>
      <w:r>
        <w:rPr>
          <w:rFonts w:hint="eastAsia" w:ascii="宋体" w:hAnsi="宋体" w:cs="宋体"/>
          <w:color w:val="auto"/>
          <w:sz w:val="24"/>
          <w:highlight w:val="none"/>
        </w:rPr>
        <w:t>提供具备健全的财务会计制度的承诺函原件（格式详见第七章））。</w:t>
      </w:r>
    </w:p>
    <w:p>
      <w:pPr>
        <w:tabs>
          <w:tab w:val="left" w:pos="7665"/>
        </w:tabs>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（3）提供具备良好商业信誉的承诺函原件（格式详见第七章）。</w:t>
      </w:r>
    </w:p>
    <w:p>
      <w:pPr>
        <w:tabs>
          <w:tab w:val="left" w:pos="7665"/>
        </w:tabs>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（4）提供具有依法缴纳税收和社会保障资金的良好记录的承诺函原件（格式详见第七章）。</w:t>
      </w:r>
    </w:p>
    <w:p>
      <w:pPr>
        <w:tabs>
          <w:tab w:val="left" w:pos="7665"/>
        </w:tabs>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（5）提供具备履行合同所必需的设备和专业技术能力的承诺函原件（格式详见第七章）。</w:t>
      </w:r>
    </w:p>
    <w:p>
      <w:pPr>
        <w:tabs>
          <w:tab w:val="left" w:pos="7665"/>
        </w:tabs>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（6）提供参加政府采购活动前3年内在经营活动中没有重大违法记录的承诺函原件（格式详见第七章）。</w:t>
      </w:r>
    </w:p>
    <w:p>
      <w:pPr>
        <w:tabs>
          <w:tab w:val="left" w:pos="7665"/>
        </w:tabs>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（7）提供具备法律、行政法规规定的其他条件的承诺函原件（格式详见第七章）。</w:t>
      </w:r>
    </w:p>
    <w:p>
      <w:pPr>
        <w:tabs>
          <w:tab w:val="left" w:pos="7665"/>
        </w:tabs>
        <w:snapToGrid w:val="0"/>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（二）根据采购项目提出的特殊条件：</w:t>
      </w:r>
    </w:p>
    <w:p>
      <w:pPr>
        <w:tabs>
          <w:tab w:val="left" w:pos="7665"/>
        </w:tabs>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（1）提供供应商及现任法定代表人（非法人机构则为主要负责人）不具有行贿犯罪</w:t>
      </w:r>
      <w:r>
        <w:rPr>
          <w:rFonts w:hint="eastAsia" w:ascii="宋体" w:hAnsi="宋体" w:cs="宋体"/>
          <w:color w:val="auto"/>
          <w:sz w:val="24"/>
          <w:highlight w:val="none"/>
          <w:lang w:val="en-US" w:eastAsia="zh-CN"/>
        </w:rPr>
        <w:t>记</w:t>
      </w:r>
      <w:r>
        <w:rPr>
          <w:rFonts w:hint="eastAsia" w:ascii="宋体" w:hAnsi="宋体" w:cs="宋体"/>
          <w:color w:val="auto"/>
          <w:sz w:val="24"/>
          <w:highlight w:val="none"/>
        </w:rPr>
        <w:t>录的承诺函原件</w:t>
      </w:r>
      <w:r>
        <w:rPr>
          <w:rFonts w:hint="eastAsia" w:ascii="宋体" w:hAnsi="宋体" w:cs="宋体"/>
          <w:color w:val="auto"/>
          <w:sz w:val="24"/>
          <w:highlight w:val="none"/>
          <w:lang w:eastAsia="zh-CN"/>
        </w:rPr>
        <w:t>；</w:t>
      </w:r>
      <w:r>
        <w:rPr>
          <w:rFonts w:hint="eastAsia" w:ascii="宋体" w:hAnsi="宋体" w:cs="宋体"/>
          <w:color w:val="auto"/>
          <w:sz w:val="24"/>
          <w:highlight w:val="none"/>
        </w:rPr>
        <w:t>（格式详见第七章）</w:t>
      </w:r>
    </w:p>
    <w:p>
      <w:pPr>
        <w:tabs>
          <w:tab w:val="left" w:pos="7665"/>
        </w:tabs>
        <w:snapToGrid w:val="0"/>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（三）其他类似效力要求：</w:t>
      </w:r>
    </w:p>
    <w:p>
      <w:pPr>
        <w:tabs>
          <w:tab w:val="left" w:pos="7665"/>
        </w:tabs>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（1）法定代表人/单位负责人授权书原件及法定代表人/单位负责人、授权代表身份证明材料复印件（法定代表人/单位负责人授权他人参与磋商时需要提供）。</w:t>
      </w:r>
    </w:p>
    <w:p>
      <w:pPr>
        <w:tabs>
          <w:tab w:val="left" w:pos="7665"/>
        </w:tabs>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（2）法定代表人/单位负责人证明书原件及法定代表人/单位负责人身份证明材料复印件（法定代表人/单位负责人亲自参加磋商时需要提供）。</w:t>
      </w:r>
    </w:p>
    <w:p>
      <w:pPr>
        <w:tabs>
          <w:tab w:val="left" w:pos="7665"/>
        </w:tabs>
        <w:snapToGrid w:val="0"/>
        <w:spacing w:line="360" w:lineRule="auto"/>
        <w:ind w:firstLine="480" w:firstLineChars="200"/>
        <w:rPr>
          <w:rFonts w:ascii="宋体" w:hAnsi="宋体" w:cs="宋体"/>
          <w:color w:val="auto"/>
          <w:sz w:val="24"/>
          <w:highlight w:val="none"/>
        </w:rPr>
      </w:pPr>
    </w:p>
    <w:p>
      <w:pPr>
        <w:pStyle w:val="5"/>
        <w:keepNext w:val="0"/>
        <w:keepLines w:val="0"/>
        <w:spacing w:before="0" w:after="0" w:line="360" w:lineRule="auto"/>
        <w:rPr>
          <w:rFonts w:ascii="宋体" w:hAnsi="宋体" w:eastAsia="宋体"/>
          <w:color w:val="auto"/>
          <w:sz w:val="24"/>
          <w:szCs w:val="24"/>
          <w:highlight w:val="none"/>
        </w:rPr>
      </w:pPr>
      <w:bookmarkStart w:id="108" w:name="_Toc20115_WPSOffice_Level2"/>
      <w:bookmarkStart w:id="109" w:name="_Toc24332_WPSOffice_Level2"/>
      <w:r>
        <w:rPr>
          <w:rFonts w:hint="eastAsia" w:ascii="宋体" w:hAnsi="宋体" w:eastAsia="宋体"/>
          <w:color w:val="auto"/>
          <w:sz w:val="24"/>
          <w:szCs w:val="24"/>
          <w:highlight w:val="none"/>
        </w:rPr>
        <w:t>二、应当提供的报价产品的资格、资质性及其他类似效力要求的相关证明材料：</w:t>
      </w:r>
      <w:bookmarkEnd w:id="107"/>
      <w:bookmarkEnd w:id="108"/>
      <w:bookmarkEnd w:id="109"/>
    </w:p>
    <w:p>
      <w:pPr>
        <w:tabs>
          <w:tab w:val="left" w:pos="7665"/>
        </w:tabs>
        <w:snapToGrid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无。</w:t>
      </w:r>
    </w:p>
    <w:p>
      <w:pPr>
        <w:pStyle w:val="28"/>
        <w:snapToGrid w:val="0"/>
        <w:ind w:firstLine="0" w:firstLineChars="0"/>
        <w:rPr>
          <w:rFonts w:ascii="宋体" w:hAnsi="宋体"/>
          <w:color w:val="auto"/>
          <w:sz w:val="24"/>
          <w:highlight w:val="none"/>
        </w:rPr>
      </w:pPr>
    </w:p>
    <w:p>
      <w:pPr>
        <w:tabs>
          <w:tab w:val="left" w:pos="7665"/>
        </w:tabs>
        <w:snapToGrid w:val="0"/>
        <w:spacing w:line="360" w:lineRule="auto"/>
        <w:ind w:firstLine="482" w:firstLineChars="200"/>
        <w:rPr>
          <w:rFonts w:ascii="宋体" w:hAnsi="宋体"/>
          <w:b/>
          <w:color w:val="auto"/>
          <w:sz w:val="24"/>
          <w:highlight w:val="none"/>
        </w:rPr>
      </w:pPr>
    </w:p>
    <w:p>
      <w:pPr>
        <w:tabs>
          <w:tab w:val="left" w:pos="7665"/>
        </w:tabs>
        <w:snapToGrid w:val="0"/>
        <w:spacing w:line="360" w:lineRule="auto"/>
        <w:ind w:firstLine="482" w:firstLineChars="200"/>
        <w:rPr>
          <w:rFonts w:ascii="宋体" w:hAnsi="宋体"/>
          <w:b/>
          <w:color w:val="auto"/>
          <w:sz w:val="24"/>
          <w:highlight w:val="none"/>
        </w:rPr>
      </w:pPr>
    </w:p>
    <w:p>
      <w:pPr>
        <w:pStyle w:val="28"/>
        <w:snapToGrid w:val="0"/>
        <w:ind w:firstLine="0" w:firstLineChars="0"/>
        <w:rPr>
          <w:rFonts w:ascii="宋体" w:hAnsi="宋体"/>
          <w:color w:val="auto"/>
          <w:sz w:val="24"/>
          <w:highlight w:val="none"/>
        </w:rPr>
      </w:pPr>
      <w:r>
        <w:rPr>
          <w:rFonts w:hint="eastAsia" w:ascii="宋体" w:hAnsi="宋体"/>
          <w:color w:val="auto"/>
          <w:sz w:val="24"/>
          <w:highlight w:val="none"/>
        </w:rPr>
        <w:t>说明：</w:t>
      </w:r>
    </w:p>
    <w:p>
      <w:pPr>
        <w:pStyle w:val="28"/>
        <w:snapToGrid w:val="0"/>
        <w:ind w:firstLine="0" w:firstLineChars="0"/>
        <w:rPr>
          <w:rFonts w:ascii="宋体" w:hAnsi="宋体"/>
          <w:b/>
          <w:bCs/>
          <w:color w:val="auto"/>
          <w:sz w:val="24"/>
          <w:highlight w:val="none"/>
        </w:rPr>
      </w:pPr>
      <w:r>
        <w:rPr>
          <w:rFonts w:hint="eastAsia" w:ascii="宋体" w:hAnsi="宋体"/>
          <w:b/>
          <w:bCs/>
          <w:color w:val="auto"/>
          <w:sz w:val="24"/>
          <w:highlight w:val="none"/>
        </w:rPr>
        <w:t>（1）供应商提供的以上资格证明材料为复印件的均应加盖供应商公章。</w:t>
      </w:r>
    </w:p>
    <w:p>
      <w:pPr>
        <w:pStyle w:val="28"/>
        <w:snapToGrid w:val="0"/>
        <w:ind w:firstLine="0" w:firstLineChars="0"/>
        <w:rPr>
          <w:rFonts w:ascii="宋体" w:hAnsi="宋体"/>
          <w:b/>
          <w:bCs/>
          <w:color w:val="auto"/>
          <w:sz w:val="24"/>
          <w:highlight w:val="none"/>
        </w:rPr>
      </w:pPr>
      <w:r>
        <w:rPr>
          <w:rFonts w:hint="eastAsia" w:ascii="宋体" w:hAnsi="宋体"/>
          <w:b/>
          <w:bCs/>
          <w:color w:val="auto"/>
          <w:sz w:val="24"/>
          <w:highlight w:val="none"/>
        </w:rPr>
        <w:t>（2）供应商所提供的资格证明材料应当真实、有效。</w:t>
      </w:r>
    </w:p>
    <w:p>
      <w:pPr>
        <w:pStyle w:val="3"/>
        <w:spacing w:before="0" w:after="0" w:line="360" w:lineRule="auto"/>
        <w:jc w:val="center"/>
        <w:rPr>
          <w:rFonts w:ascii="宋体" w:hAnsi="宋体"/>
          <w:color w:val="auto"/>
          <w:sz w:val="22"/>
          <w:szCs w:val="22"/>
          <w:highlight w:val="none"/>
        </w:rPr>
      </w:pPr>
      <w:r>
        <w:rPr>
          <w:rFonts w:ascii="宋体"/>
          <w:color w:val="auto"/>
          <w:sz w:val="24"/>
          <w:highlight w:val="none"/>
        </w:rPr>
        <w:br w:type="page"/>
      </w:r>
      <w:bookmarkStart w:id="110" w:name="_Toc23697_WPSOffice_Level1"/>
      <w:bookmarkStart w:id="111" w:name="_Toc14938_WPSOffice_Level1"/>
      <w:bookmarkStart w:id="112" w:name="_Toc12747"/>
      <w:r>
        <w:rPr>
          <w:rFonts w:hint="eastAsia"/>
          <w:color w:val="auto"/>
          <w:highlight w:val="none"/>
        </w:rPr>
        <w:t xml:space="preserve">第五章  </w:t>
      </w:r>
      <w:bookmarkEnd w:id="110"/>
      <w:bookmarkEnd w:id="111"/>
      <w:r>
        <w:rPr>
          <w:rFonts w:hint="eastAsia" w:ascii="宋体" w:hAnsi="宋体" w:cs="宋体"/>
          <w:color w:val="auto"/>
          <w:highlight w:val="none"/>
        </w:rPr>
        <w:t>采购项目技术、服务、政府采购合同内容条款及其他商务要求</w:t>
      </w:r>
      <w:bookmarkEnd w:id="73"/>
      <w:bookmarkEnd w:id="74"/>
      <w:bookmarkEnd w:id="75"/>
      <w:bookmarkEnd w:id="76"/>
      <w:bookmarkEnd w:id="77"/>
      <w:bookmarkEnd w:id="112"/>
      <w:bookmarkStart w:id="113" w:name="_Toc183682369"/>
      <w:bookmarkStart w:id="114" w:name="_Toc183582232"/>
      <w:bookmarkStart w:id="115" w:name="_Toc217446057"/>
    </w:p>
    <w:p>
      <w:pPr>
        <w:keepNext w:val="0"/>
        <w:keepLines w:val="0"/>
        <w:pageBreakBefore w:val="0"/>
        <w:widowControl w:val="0"/>
        <w:tabs>
          <w:tab w:val="left" w:pos="7665"/>
        </w:tabs>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sz w:val="24"/>
          <w:highlight w:val="none"/>
        </w:rPr>
      </w:pPr>
    </w:p>
    <w:p>
      <w:pPr>
        <w:keepNext w:val="0"/>
        <w:keepLines w:val="0"/>
        <w:pageBreakBefore w:val="0"/>
        <w:widowControl/>
        <w:kinsoku/>
        <w:wordWrap/>
        <w:overflowPunct/>
        <w:topLinePunct w:val="0"/>
        <w:autoSpaceDE/>
        <w:autoSpaceDN/>
        <w:bidi w:val="0"/>
        <w:adjustRightInd/>
        <w:snapToGrid/>
        <w:spacing w:line="360" w:lineRule="auto"/>
        <w:ind w:firstLine="482" w:firstLineChars="200"/>
        <w:jc w:val="left"/>
        <w:textAlignment w:val="baseline"/>
        <w:outlineLvl w:val="1"/>
        <w:rPr>
          <w:rFonts w:hint="eastAsia" w:ascii="宋体" w:hAnsi="宋体" w:eastAsia="宋体" w:cs="宋体"/>
          <w:color w:val="383838"/>
          <w:kern w:val="0"/>
          <w:sz w:val="24"/>
          <w:szCs w:val="24"/>
          <w:highlight w:val="none"/>
        </w:rPr>
      </w:pPr>
      <w:r>
        <w:rPr>
          <w:rFonts w:hint="eastAsia" w:ascii="宋体" w:hAnsi="宋体" w:eastAsia="宋体" w:cs="宋体"/>
          <w:b/>
          <w:bCs/>
          <w:color w:val="383838"/>
          <w:kern w:val="0"/>
          <w:sz w:val="24"/>
          <w:szCs w:val="24"/>
          <w:highlight w:val="none"/>
        </w:rPr>
        <w:t>一、采购项目内容</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baseline"/>
        <w:rPr>
          <w:rFonts w:hint="eastAsia" w:ascii="宋体" w:hAnsi="宋体" w:eastAsia="宋体" w:cs="宋体"/>
          <w:color w:val="383838"/>
          <w:kern w:val="0"/>
          <w:sz w:val="24"/>
          <w:szCs w:val="24"/>
          <w:highlight w:val="none"/>
        </w:rPr>
      </w:pPr>
      <w:r>
        <w:rPr>
          <w:rFonts w:hint="eastAsia" w:ascii="宋体" w:hAnsi="宋体" w:eastAsia="宋体" w:cs="宋体"/>
          <w:color w:val="383838"/>
          <w:kern w:val="0"/>
          <w:sz w:val="24"/>
          <w:szCs w:val="24"/>
          <w:highlight w:val="none"/>
        </w:rPr>
        <w:t>为拓展学校教育、开阔学习视野。注重思想性、对象性、时代性、可看性，在全校形成崇尚高雅情趣的氛围，为广大学生健康成长创造良好的环境。营造影响孩子一生的氛围。尊重学生个性发展。为每一个孩子最大可能的发展负责。和每个学生、家长、老师一起记录成长瞬间。</w:t>
      </w:r>
    </w:p>
    <w:p>
      <w:pPr>
        <w:keepNext w:val="0"/>
        <w:keepLines w:val="0"/>
        <w:pageBreakBefore w:val="0"/>
        <w:widowControl/>
        <w:kinsoku/>
        <w:wordWrap/>
        <w:overflowPunct/>
        <w:topLinePunct w:val="0"/>
        <w:autoSpaceDE/>
        <w:autoSpaceDN/>
        <w:bidi w:val="0"/>
        <w:adjustRightInd/>
        <w:snapToGrid/>
        <w:spacing w:line="360" w:lineRule="auto"/>
        <w:ind w:firstLine="482" w:firstLineChars="200"/>
        <w:jc w:val="left"/>
        <w:textAlignment w:val="baseline"/>
        <w:outlineLvl w:val="9"/>
        <w:rPr>
          <w:rFonts w:hint="eastAsia" w:ascii="宋体" w:hAnsi="宋体" w:eastAsia="宋体" w:cs="宋体"/>
          <w:b/>
          <w:bCs/>
          <w:color w:val="383838"/>
          <w:kern w:val="0"/>
          <w:sz w:val="24"/>
          <w:szCs w:val="24"/>
          <w:highlight w:val="none"/>
        </w:rPr>
      </w:pPr>
    </w:p>
    <w:p>
      <w:pPr>
        <w:keepNext w:val="0"/>
        <w:keepLines w:val="0"/>
        <w:pageBreakBefore w:val="0"/>
        <w:widowControl/>
        <w:kinsoku/>
        <w:wordWrap/>
        <w:overflowPunct/>
        <w:topLinePunct w:val="0"/>
        <w:autoSpaceDE/>
        <w:autoSpaceDN/>
        <w:bidi w:val="0"/>
        <w:adjustRightInd/>
        <w:snapToGrid/>
        <w:spacing w:line="360" w:lineRule="auto"/>
        <w:ind w:firstLine="482" w:firstLineChars="200"/>
        <w:jc w:val="left"/>
        <w:textAlignment w:val="baseline"/>
        <w:outlineLvl w:val="1"/>
        <w:rPr>
          <w:rFonts w:hint="eastAsia" w:ascii="宋体" w:hAnsi="宋体" w:eastAsia="宋体" w:cs="宋体"/>
          <w:b/>
          <w:bCs/>
          <w:color w:val="383838"/>
          <w:kern w:val="0"/>
          <w:sz w:val="24"/>
          <w:szCs w:val="24"/>
          <w:highlight w:val="none"/>
          <w:lang w:val="en-US" w:eastAsia="zh-CN"/>
        </w:rPr>
      </w:pPr>
      <w:r>
        <w:rPr>
          <w:rFonts w:hint="eastAsia" w:ascii="宋体" w:hAnsi="宋体" w:eastAsia="宋体" w:cs="宋体"/>
          <w:b/>
          <w:bCs/>
          <w:color w:val="383838"/>
          <w:kern w:val="0"/>
          <w:sz w:val="24"/>
          <w:szCs w:val="24"/>
          <w:highlight w:val="none"/>
        </w:rPr>
        <w:t>二、项目内容</w:t>
      </w:r>
      <w:r>
        <w:rPr>
          <w:rFonts w:hint="eastAsia" w:ascii="宋体" w:hAnsi="宋体" w:eastAsia="宋体" w:cs="宋体"/>
          <w:b/>
          <w:bCs/>
          <w:color w:val="383838"/>
          <w:kern w:val="0"/>
          <w:sz w:val="24"/>
          <w:szCs w:val="24"/>
          <w:highlight w:val="none"/>
          <w:lang w:val="en-US" w:eastAsia="zh-CN"/>
        </w:rPr>
        <w:t>及要求</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baseline"/>
        <w:outlineLvl w:val="9"/>
        <w:rPr>
          <w:rFonts w:hint="eastAsia" w:ascii="宋体" w:hAnsi="宋体" w:eastAsia="宋体" w:cs="宋体"/>
          <w:color w:val="383838"/>
          <w:kern w:val="0"/>
          <w:sz w:val="24"/>
          <w:szCs w:val="24"/>
          <w:highlight w:val="none"/>
        </w:rPr>
      </w:pPr>
      <w:r>
        <w:rPr>
          <w:rFonts w:hint="eastAsia" w:ascii="宋体" w:hAnsi="宋体" w:eastAsia="宋体" w:cs="宋体"/>
          <w:color w:val="383838"/>
          <w:kern w:val="0"/>
          <w:sz w:val="24"/>
          <w:szCs w:val="24"/>
          <w:highlight w:val="none"/>
        </w:rPr>
        <w:t>（</w:t>
      </w:r>
      <w:r>
        <w:rPr>
          <w:rFonts w:hint="eastAsia" w:ascii="宋体" w:hAnsi="宋体" w:eastAsia="宋体" w:cs="宋体"/>
          <w:color w:val="383838"/>
          <w:kern w:val="0"/>
          <w:sz w:val="24"/>
          <w:szCs w:val="24"/>
          <w:highlight w:val="none"/>
          <w:lang w:val="en-US" w:eastAsia="zh-CN"/>
        </w:rPr>
        <w:t>一</w:t>
      </w:r>
      <w:r>
        <w:rPr>
          <w:rFonts w:hint="eastAsia" w:ascii="宋体" w:hAnsi="宋体" w:eastAsia="宋体" w:cs="宋体"/>
          <w:color w:val="383838"/>
          <w:kern w:val="0"/>
          <w:sz w:val="24"/>
          <w:szCs w:val="24"/>
          <w:highlight w:val="none"/>
        </w:rPr>
        <w:t>）</w:t>
      </w:r>
      <w:r>
        <w:rPr>
          <w:rFonts w:hint="eastAsia" w:ascii="宋体" w:hAnsi="宋体" w:eastAsia="宋体" w:cs="宋体"/>
          <w:color w:val="383838"/>
          <w:kern w:val="0"/>
          <w:sz w:val="24"/>
          <w:szCs w:val="24"/>
          <w:highlight w:val="none"/>
          <w:lang w:val="en-US" w:eastAsia="zh-CN"/>
        </w:rPr>
        <w:t>项目</w:t>
      </w:r>
      <w:r>
        <w:rPr>
          <w:rFonts w:hint="eastAsia" w:ascii="宋体" w:hAnsi="宋体" w:eastAsia="宋体" w:cs="宋体"/>
          <w:color w:val="383838"/>
          <w:kern w:val="0"/>
          <w:sz w:val="24"/>
          <w:szCs w:val="24"/>
          <w:highlight w:val="none"/>
          <w:lang w:val="en-US" w:eastAsia="zh-Hans"/>
        </w:rPr>
        <w:t>内容</w:t>
      </w:r>
      <w:r>
        <w:rPr>
          <w:rFonts w:hint="eastAsia" w:ascii="宋体" w:hAnsi="宋体" w:eastAsia="宋体" w:cs="宋体"/>
          <w:color w:val="383838"/>
          <w:kern w:val="0"/>
          <w:sz w:val="24"/>
          <w:szCs w:val="24"/>
          <w:highlight w:val="none"/>
        </w:rPr>
        <w:t>：</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baseline"/>
        <w:rPr>
          <w:rFonts w:hint="eastAsia" w:ascii="宋体" w:hAnsi="宋体" w:eastAsia="宋体" w:cs="宋体"/>
          <w:color w:val="383838"/>
          <w:kern w:val="0"/>
          <w:sz w:val="24"/>
          <w:szCs w:val="24"/>
          <w:highlight w:val="none"/>
          <w:lang w:eastAsia="zh-Hans"/>
        </w:rPr>
      </w:pPr>
      <w:r>
        <w:rPr>
          <w:rFonts w:hint="eastAsia" w:ascii="宋体" w:hAnsi="宋体" w:eastAsia="宋体" w:cs="宋体"/>
          <w:color w:val="383838"/>
          <w:kern w:val="0"/>
          <w:sz w:val="24"/>
          <w:szCs w:val="24"/>
          <w:highlight w:val="none"/>
        </w:rPr>
        <w:t>1</w:t>
      </w:r>
      <w:r>
        <w:rPr>
          <w:rFonts w:hint="eastAsia" w:ascii="宋体" w:hAnsi="宋体" w:eastAsia="宋体" w:cs="宋体"/>
          <w:color w:val="383838"/>
          <w:kern w:val="0"/>
          <w:sz w:val="24"/>
          <w:szCs w:val="24"/>
          <w:highlight w:val="none"/>
          <w:lang w:eastAsia="zh-CN"/>
        </w:rPr>
        <w:t>、</w:t>
      </w:r>
      <w:r>
        <w:rPr>
          <w:rFonts w:hint="eastAsia" w:ascii="宋体" w:hAnsi="宋体" w:eastAsia="宋体" w:cs="宋体"/>
          <w:color w:val="383838"/>
          <w:kern w:val="0"/>
          <w:sz w:val="24"/>
          <w:szCs w:val="24"/>
          <w:highlight w:val="none"/>
        </w:rPr>
        <w:t>策划、拍摄</w:t>
      </w:r>
      <w:r>
        <w:rPr>
          <w:rFonts w:hint="eastAsia" w:ascii="宋体" w:hAnsi="宋体" w:eastAsia="宋体" w:cs="宋体"/>
          <w:color w:val="383838"/>
          <w:kern w:val="0"/>
          <w:sz w:val="24"/>
          <w:szCs w:val="24"/>
          <w:highlight w:val="none"/>
          <w:lang w:val="en-US" w:eastAsia="zh-Hans"/>
        </w:rPr>
        <w:t>制作全年的视频</w:t>
      </w:r>
      <w:r>
        <w:rPr>
          <w:rFonts w:hint="eastAsia" w:ascii="宋体" w:hAnsi="宋体" w:eastAsia="宋体" w:cs="宋体"/>
          <w:color w:val="383838"/>
          <w:kern w:val="0"/>
          <w:sz w:val="24"/>
          <w:szCs w:val="24"/>
          <w:highlight w:val="none"/>
          <w:lang w:eastAsia="zh-Hans"/>
        </w:rPr>
        <w:t>，</w:t>
      </w:r>
      <w:r>
        <w:rPr>
          <w:rFonts w:hint="eastAsia" w:ascii="宋体" w:hAnsi="宋体" w:eastAsia="宋体" w:cs="宋体"/>
          <w:color w:val="383838"/>
          <w:kern w:val="0"/>
          <w:sz w:val="24"/>
          <w:szCs w:val="24"/>
          <w:highlight w:val="none"/>
          <w:lang w:val="en-US" w:eastAsia="zh-Hans"/>
        </w:rPr>
        <w:t>包括但不限于</w:t>
      </w:r>
      <w:r>
        <w:rPr>
          <w:rFonts w:hint="eastAsia" w:ascii="宋体" w:hAnsi="宋体" w:eastAsia="宋体" w:cs="宋体"/>
          <w:color w:val="383838"/>
          <w:kern w:val="0"/>
          <w:sz w:val="24"/>
          <w:szCs w:val="24"/>
          <w:highlight w:val="none"/>
          <w:lang w:eastAsia="zh-Hans"/>
        </w:rPr>
        <w:t>：</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baseline"/>
        <w:rPr>
          <w:rFonts w:hint="eastAsia" w:ascii="宋体" w:hAnsi="宋体" w:eastAsia="宋体" w:cs="宋体"/>
          <w:color w:val="383838"/>
          <w:kern w:val="0"/>
          <w:sz w:val="24"/>
          <w:szCs w:val="24"/>
          <w:highlight w:val="none"/>
        </w:rPr>
      </w:pPr>
      <w:r>
        <w:rPr>
          <w:rFonts w:hint="eastAsia" w:ascii="宋体" w:hAnsi="宋体" w:eastAsia="宋体" w:cs="宋体"/>
          <w:color w:val="383838"/>
          <w:kern w:val="0"/>
          <w:sz w:val="24"/>
          <w:szCs w:val="24"/>
          <w:highlight w:val="none"/>
        </w:rPr>
        <w:t>①主题短片拍摄/制作（不超过5条）</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baseline"/>
        <w:rPr>
          <w:rFonts w:hint="eastAsia" w:ascii="宋体" w:hAnsi="宋体" w:eastAsia="宋体" w:cs="宋体"/>
          <w:color w:val="383838"/>
          <w:kern w:val="0"/>
          <w:sz w:val="24"/>
          <w:szCs w:val="24"/>
          <w:highlight w:val="none"/>
        </w:rPr>
      </w:pPr>
      <w:r>
        <w:rPr>
          <w:rFonts w:hint="eastAsia" w:ascii="宋体" w:hAnsi="宋体" w:eastAsia="宋体" w:cs="宋体"/>
          <w:color w:val="383838"/>
          <w:kern w:val="0"/>
          <w:sz w:val="24"/>
          <w:szCs w:val="24"/>
          <w:highlight w:val="none"/>
        </w:rPr>
        <w:t>②学生活动花絮拍摄/制作（不超过20条）</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baseline"/>
        <w:rPr>
          <w:rFonts w:hint="eastAsia" w:ascii="宋体" w:hAnsi="宋体" w:eastAsia="宋体" w:cs="宋体"/>
          <w:color w:val="383838"/>
          <w:kern w:val="0"/>
          <w:sz w:val="24"/>
          <w:szCs w:val="24"/>
          <w:highlight w:val="none"/>
        </w:rPr>
      </w:pPr>
      <w:r>
        <w:rPr>
          <w:rFonts w:hint="eastAsia" w:ascii="宋体" w:hAnsi="宋体" w:eastAsia="宋体" w:cs="宋体"/>
          <w:color w:val="383838"/>
          <w:kern w:val="0"/>
          <w:sz w:val="24"/>
          <w:szCs w:val="24"/>
          <w:highlight w:val="none"/>
        </w:rPr>
        <w:t>③入队仪式主题短片、花絮拍摄/制作（不超过5条）</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baseline"/>
        <w:rPr>
          <w:rFonts w:hint="eastAsia" w:ascii="宋体" w:hAnsi="宋体" w:eastAsia="宋体" w:cs="宋体"/>
          <w:color w:val="383838"/>
          <w:kern w:val="0"/>
          <w:sz w:val="24"/>
          <w:szCs w:val="24"/>
          <w:highlight w:val="none"/>
        </w:rPr>
      </w:pPr>
      <w:r>
        <w:rPr>
          <w:rFonts w:hint="eastAsia" w:ascii="宋体" w:hAnsi="宋体" w:eastAsia="宋体" w:cs="宋体"/>
          <w:color w:val="383838"/>
          <w:kern w:val="0"/>
          <w:sz w:val="24"/>
          <w:szCs w:val="24"/>
          <w:highlight w:val="none"/>
        </w:rPr>
        <w:t>④毕业典礼主题短片、花絮拍摄/制作（不超过5条）</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baseline"/>
        <w:rPr>
          <w:rFonts w:hint="eastAsia" w:ascii="宋体" w:hAnsi="宋体" w:eastAsia="宋体" w:cs="宋体"/>
          <w:color w:val="383838"/>
          <w:kern w:val="0"/>
          <w:sz w:val="24"/>
          <w:szCs w:val="24"/>
          <w:highlight w:val="none"/>
        </w:rPr>
      </w:pPr>
      <w:r>
        <w:rPr>
          <w:rFonts w:hint="eastAsia" w:ascii="宋体" w:hAnsi="宋体" w:eastAsia="宋体" w:cs="宋体"/>
          <w:color w:val="383838"/>
          <w:kern w:val="0"/>
          <w:sz w:val="24"/>
          <w:szCs w:val="24"/>
          <w:highlight w:val="none"/>
        </w:rPr>
        <w:t>⑤感动校园人物主题短片、花絮拍摄/制作（不超过5条）</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baseline"/>
        <w:outlineLvl w:val="9"/>
        <w:rPr>
          <w:rFonts w:hint="eastAsia" w:ascii="宋体" w:hAnsi="宋体" w:eastAsia="宋体" w:cs="宋体"/>
          <w:color w:val="383838"/>
          <w:kern w:val="0"/>
          <w:sz w:val="24"/>
          <w:szCs w:val="24"/>
          <w:highlight w:val="none"/>
        </w:rPr>
      </w:pPr>
      <w:r>
        <w:rPr>
          <w:rFonts w:hint="eastAsia" w:ascii="宋体" w:hAnsi="宋体" w:eastAsia="宋体" w:cs="宋体"/>
          <w:color w:val="383838"/>
          <w:kern w:val="0"/>
          <w:sz w:val="24"/>
          <w:szCs w:val="24"/>
          <w:highlight w:val="none"/>
        </w:rPr>
        <w:t>（</w:t>
      </w:r>
      <w:r>
        <w:rPr>
          <w:rFonts w:hint="eastAsia" w:ascii="宋体" w:hAnsi="宋体" w:eastAsia="宋体" w:cs="宋体"/>
          <w:color w:val="383838"/>
          <w:kern w:val="0"/>
          <w:sz w:val="24"/>
          <w:szCs w:val="24"/>
          <w:highlight w:val="none"/>
          <w:lang w:val="en-US" w:eastAsia="zh-CN"/>
        </w:rPr>
        <w:t>二</w:t>
      </w:r>
      <w:r>
        <w:rPr>
          <w:rFonts w:hint="eastAsia" w:ascii="宋体" w:hAnsi="宋体" w:eastAsia="宋体" w:cs="宋体"/>
          <w:color w:val="383838"/>
          <w:kern w:val="0"/>
          <w:sz w:val="24"/>
          <w:szCs w:val="24"/>
          <w:highlight w:val="none"/>
        </w:rPr>
        <w:t>）</w:t>
      </w:r>
      <w:r>
        <w:rPr>
          <w:rFonts w:hint="eastAsia" w:ascii="宋体" w:hAnsi="宋体" w:eastAsia="宋体" w:cs="宋体"/>
          <w:color w:val="383838"/>
          <w:kern w:val="0"/>
          <w:sz w:val="24"/>
          <w:szCs w:val="24"/>
          <w:highlight w:val="none"/>
          <w:lang w:val="en-US" w:eastAsia="zh-CN"/>
        </w:rPr>
        <w:t>技术</w:t>
      </w:r>
      <w:r>
        <w:rPr>
          <w:rFonts w:hint="eastAsia" w:ascii="宋体" w:hAnsi="宋体" w:eastAsia="宋体" w:cs="宋体"/>
          <w:color w:val="383838"/>
          <w:kern w:val="0"/>
          <w:sz w:val="24"/>
          <w:szCs w:val="24"/>
          <w:highlight w:val="none"/>
          <w:lang w:val="en-US" w:eastAsia="zh-Hans"/>
        </w:rPr>
        <w:t>要求</w:t>
      </w:r>
      <w:r>
        <w:rPr>
          <w:rFonts w:hint="eastAsia" w:ascii="宋体" w:hAnsi="宋体" w:eastAsia="宋体" w:cs="宋体"/>
          <w:color w:val="383838"/>
          <w:kern w:val="0"/>
          <w:sz w:val="24"/>
          <w:szCs w:val="24"/>
          <w:highlight w:val="none"/>
          <w:lang w:eastAsia="zh-Hans"/>
        </w:rPr>
        <w:t>：</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baseline"/>
        <w:rPr>
          <w:rFonts w:hint="eastAsia" w:ascii="宋体" w:hAnsi="宋体" w:eastAsia="宋体" w:cs="宋体"/>
          <w:color w:val="383838"/>
          <w:kern w:val="0"/>
          <w:sz w:val="24"/>
          <w:szCs w:val="24"/>
          <w:highlight w:val="none"/>
        </w:rPr>
      </w:pPr>
      <w:r>
        <w:rPr>
          <w:rFonts w:hint="eastAsia" w:ascii="宋体" w:hAnsi="宋体" w:eastAsia="宋体" w:cs="宋体"/>
          <w:color w:val="383838"/>
          <w:kern w:val="0"/>
          <w:sz w:val="24"/>
          <w:szCs w:val="24"/>
          <w:highlight w:val="none"/>
        </w:rPr>
        <w:t>1</w:t>
      </w:r>
      <w:r>
        <w:rPr>
          <w:rFonts w:hint="eastAsia" w:ascii="宋体" w:hAnsi="宋体" w:eastAsia="宋体" w:cs="宋体"/>
          <w:color w:val="383838"/>
          <w:kern w:val="0"/>
          <w:sz w:val="24"/>
          <w:szCs w:val="24"/>
          <w:highlight w:val="none"/>
          <w:lang w:eastAsia="zh-CN"/>
        </w:rPr>
        <w:t>、</w:t>
      </w:r>
      <w:r>
        <w:rPr>
          <w:rFonts w:hint="eastAsia" w:ascii="宋体" w:hAnsi="宋体" w:eastAsia="宋体" w:cs="宋体"/>
          <w:color w:val="383838"/>
          <w:spacing w:val="-2"/>
          <w:kern w:val="0"/>
          <w:sz w:val="24"/>
          <w:szCs w:val="24"/>
          <w:highlight w:val="none"/>
        </w:rPr>
        <w:t>成片为高清格式、分辨率1920×1080，成片清晰度、光影饱和度等指标均按高清技术指标要求。</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baseline"/>
        <w:rPr>
          <w:rFonts w:hint="eastAsia" w:ascii="宋体" w:hAnsi="宋体" w:eastAsia="宋体" w:cs="宋体"/>
          <w:color w:val="383838"/>
          <w:kern w:val="0"/>
          <w:sz w:val="24"/>
          <w:szCs w:val="24"/>
          <w:highlight w:val="none"/>
        </w:rPr>
      </w:pPr>
      <w:r>
        <w:rPr>
          <w:rFonts w:hint="eastAsia" w:ascii="宋体" w:hAnsi="宋体" w:eastAsia="宋体" w:cs="宋体"/>
          <w:color w:val="383838"/>
          <w:kern w:val="0"/>
          <w:sz w:val="24"/>
          <w:szCs w:val="24"/>
          <w:highlight w:val="none"/>
        </w:rPr>
        <w:t>2</w:t>
      </w:r>
      <w:r>
        <w:rPr>
          <w:rFonts w:hint="eastAsia" w:ascii="宋体" w:hAnsi="宋体" w:eastAsia="宋体" w:cs="宋体"/>
          <w:color w:val="383838"/>
          <w:kern w:val="0"/>
          <w:sz w:val="24"/>
          <w:szCs w:val="24"/>
          <w:highlight w:val="none"/>
          <w:lang w:eastAsia="zh-CN"/>
        </w:rPr>
        <w:t>、</w:t>
      </w:r>
      <w:r>
        <w:rPr>
          <w:rFonts w:hint="eastAsia" w:ascii="宋体" w:hAnsi="宋体" w:eastAsia="宋体" w:cs="宋体"/>
          <w:color w:val="383838"/>
          <w:spacing w:val="-2"/>
          <w:kern w:val="0"/>
          <w:sz w:val="24"/>
          <w:szCs w:val="24"/>
          <w:highlight w:val="none"/>
        </w:rPr>
        <w:t>画质高清、画面规范、整体表现流畅、内容全面、制作精良，能够完整表现创意，影部、声部、字幕、特效等必须保证高品质，符合各类电视、LED屏幕和微信等播放标准和要求。</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baseline"/>
        <w:rPr>
          <w:rFonts w:hint="eastAsia" w:ascii="宋体" w:hAnsi="宋体" w:eastAsia="宋体" w:cs="宋体"/>
          <w:color w:val="383838"/>
          <w:kern w:val="0"/>
          <w:sz w:val="24"/>
          <w:szCs w:val="24"/>
          <w:highlight w:val="none"/>
        </w:rPr>
      </w:pPr>
      <w:r>
        <w:rPr>
          <w:rFonts w:hint="eastAsia" w:ascii="宋体" w:hAnsi="宋体" w:eastAsia="宋体" w:cs="宋体"/>
          <w:color w:val="383838"/>
          <w:kern w:val="0"/>
          <w:sz w:val="24"/>
          <w:szCs w:val="24"/>
          <w:highlight w:val="none"/>
        </w:rPr>
        <w:t>3</w:t>
      </w:r>
      <w:r>
        <w:rPr>
          <w:rFonts w:hint="eastAsia" w:ascii="宋体" w:hAnsi="宋体" w:eastAsia="宋体" w:cs="宋体"/>
          <w:color w:val="383838"/>
          <w:kern w:val="0"/>
          <w:sz w:val="24"/>
          <w:szCs w:val="24"/>
          <w:highlight w:val="none"/>
          <w:lang w:eastAsia="zh-CN"/>
        </w:rPr>
        <w:t>、</w:t>
      </w:r>
      <w:r>
        <w:rPr>
          <w:rFonts w:hint="eastAsia" w:ascii="宋体" w:hAnsi="宋体" w:eastAsia="宋体" w:cs="宋体"/>
          <w:color w:val="383838"/>
          <w:kern w:val="0"/>
          <w:sz w:val="24"/>
          <w:szCs w:val="24"/>
          <w:highlight w:val="none"/>
        </w:rPr>
        <w:t>供应商负责创意、脚本创作、摄制、编辑、配音配乐、特效、字幕制作等全部工作。</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baseline"/>
        <w:rPr>
          <w:rFonts w:hint="eastAsia" w:ascii="宋体" w:hAnsi="宋体" w:eastAsia="宋体" w:cs="宋体"/>
          <w:color w:val="383838"/>
          <w:kern w:val="0"/>
          <w:sz w:val="24"/>
          <w:szCs w:val="24"/>
          <w:highlight w:val="none"/>
        </w:rPr>
      </w:pPr>
      <w:r>
        <w:rPr>
          <w:rFonts w:hint="eastAsia" w:ascii="宋体" w:hAnsi="宋体" w:eastAsia="宋体" w:cs="宋体"/>
          <w:color w:val="383838"/>
          <w:kern w:val="0"/>
          <w:sz w:val="24"/>
          <w:szCs w:val="24"/>
          <w:highlight w:val="none"/>
        </w:rPr>
        <w:t>4</w:t>
      </w:r>
      <w:r>
        <w:rPr>
          <w:rFonts w:hint="eastAsia" w:ascii="宋体" w:hAnsi="宋体" w:eastAsia="宋体" w:cs="宋体"/>
          <w:color w:val="383838"/>
          <w:kern w:val="0"/>
          <w:sz w:val="24"/>
          <w:szCs w:val="24"/>
          <w:highlight w:val="none"/>
          <w:lang w:eastAsia="zh-CN"/>
        </w:rPr>
        <w:t>、</w:t>
      </w:r>
      <w:r>
        <w:rPr>
          <w:rFonts w:hint="eastAsia" w:ascii="宋体" w:hAnsi="宋体" w:eastAsia="宋体" w:cs="宋体"/>
          <w:color w:val="383838"/>
          <w:kern w:val="0"/>
          <w:sz w:val="24"/>
          <w:szCs w:val="24"/>
          <w:highlight w:val="none"/>
        </w:rPr>
        <w:t>供应商应提交视频拍摄制作的服务方案。</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baseline"/>
        <w:outlineLvl w:val="9"/>
        <w:rPr>
          <w:rFonts w:hint="eastAsia" w:ascii="宋体" w:hAnsi="宋体" w:eastAsia="宋体" w:cs="宋体"/>
          <w:color w:val="383838"/>
          <w:kern w:val="0"/>
          <w:sz w:val="24"/>
          <w:szCs w:val="24"/>
          <w:highlight w:val="none"/>
        </w:rPr>
      </w:pPr>
      <w:r>
        <w:rPr>
          <w:rFonts w:hint="eastAsia" w:ascii="宋体" w:hAnsi="宋体" w:eastAsia="宋体" w:cs="宋体"/>
          <w:color w:val="383838"/>
          <w:kern w:val="0"/>
          <w:sz w:val="24"/>
          <w:szCs w:val="24"/>
          <w:highlight w:val="none"/>
        </w:rPr>
        <w:t>（</w:t>
      </w:r>
      <w:r>
        <w:rPr>
          <w:rFonts w:hint="eastAsia" w:ascii="宋体" w:hAnsi="宋体" w:eastAsia="宋体" w:cs="宋体"/>
          <w:color w:val="383838"/>
          <w:kern w:val="0"/>
          <w:sz w:val="24"/>
          <w:szCs w:val="24"/>
          <w:highlight w:val="none"/>
          <w:lang w:val="en-US" w:eastAsia="zh-CN"/>
        </w:rPr>
        <w:t>三</w:t>
      </w:r>
      <w:r>
        <w:rPr>
          <w:rFonts w:hint="eastAsia" w:ascii="宋体" w:hAnsi="宋体" w:eastAsia="宋体" w:cs="宋体"/>
          <w:color w:val="383838"/>
          <w:kern w:val="0"/>
          <w:sz w:val="24"/>
          <w:szCs w:val="24"/>
          <w:highlight w:val="none"/>
        </w:rPr>
        <w:t>）人员、设备配置要求</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baseline"/>
        <w:rPr>
          <w:rFonts w:hint="eastAsia" w:ascii="宋体" w:hAnsi="宋体" w:eastAsia="宋体" w:cs="宋体"/>
          <w:color w:val="383838"/>
          <w:kern w:val="0"/>
          <w:sz w:val="24"/>
          <w:szCs w:val="24"/>
          <w:highlight w:val="none"/>
        </w:rPr>
      </w:pPr>
      <w:r>
        <w:rPr>
          <w:rFonts w:hint="eastAsia" w:ascii="宋体" w:hAnsi="宋体" w:eastAsia="宋体" w:cs="宋体"/>
          <w:color w:val="383838"/>
          <w:kern w:val="0"/>
          <w:sz w:val="24"/>
          <w:szCs w:val="24"/>
          <w:highlight w:val="none"/>
        </w:rPr>
        <w:t>1</w:t>
      </w:r>
      <w:r>
        <w:rPr>
          <w:rFonts w:hint="eastAsia" w:ascii="宋体" w:hAnsi="宋体" w:eastAsia="宋体" w:cs="宋体"/>
          <w:color w:val="383838"/>
          <w:kern w:val="0"/>
          <w:sz w:val="24"/>
          <w:szCs w:val="24"/>
          <w:highlight w:val="none"/>
          <w:lang w:eastAsia="zh-CN"/>
        </w:rPr>
        <w:t>、</w:t>
      </w:r>
      <w:r>
        <w:rPr>
          <w:rFonts w:hint="eastAsia" w:ascii="宋体" w:hAnsi="宋体" w:eastAsia="宋体" w:cs="宋体"/>
          <w:color w:val="383838"/>
          <w:kern w:val="0"/>
          <w:sz w:val="24"/>
          <w:szCs w:val="24"/>
          <w:highlight w:val="none"/>
        </w:rPr>
        <w:t>主创团队人员配置要求：具备承担制作高水平形象宣传片的技术人员。</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baseline"/>
        <w:rPr>
          <w:rFonts w:hint="eastAsia" w:ascii="宋体" w:hAnsi="宋体" w:eastAsia="宋体" w:cs="宋体"/>
          <w:color w:val="383838"/>
          <w:kern w:val="0"/>
          <w:sz w:val="24"/>
          <w:szCs w:val="24"/>
          <w:highlight w:val="none"/>
        </w:rPr>
      </w:pPr>
      <w:r>
        <w:rPr>
          <w:rFonts w:hint="eastAsia" w:ascii="宋体" w:hAnsi="宋体" w:eastAsia="宋体" w:cs="宋体"/>
          <w:color w:val="383838"/>
          <w:kern w:val="0"/>
          <w:sz w:val="24"/>
          <w:szCs w:val="24"/>
          <w:highlight w:val="none"/>
        </w:rPr>
        <w:t>2</w:t>
      </w:r>
      <w:r>
        <w:rPr>
          <w:rFonts w:hint="eastAsia" w:ascii="宋体" w:hAnsi="宋体" w:eastAsia="宋体" w:cs="宋体"/>
          <w:color w:val="383838"/>
          <w:kern w:val="0"/>
          <w:sz w:val="24"/>
          <w:szCs w:val="24"/>
          <w:highlight w:val="none"/>
          <w:lang w:eastAsia="zh-CN"/>
        </w:rPr>
        <w:t>、</w:t>
      </w:r>
      <w:r>
        <w:rPr>
          <w:rFonts w:hint="eastAsia" w:ascii="宋体" w:hAnsi="宋体" w:eastAsia="宋体" w:cs="宋体"/>
          <w:color w:val="383838"/>
          <w:kern w:val="0"/>
          <w:sz w:val="24"/>
          <w:szCs w:val="24"/>
          <w:highlight w:val="none"/>
        </w:rPr>
        <w:t>设备要求：</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baseline"/>
        <w:rPr>
          <w:rFonts w:hint="eastAsia" w:ascii="宋体" w:hAnsi="宋体" w:eastAsia="宋体" w:cs="宋体"/>
          <w:color w:val="383838"/>
          <w:kern w:val="0"/>
          <w:sz w:val="24"/>
          <w:szCs w:val="24"/>
          <w:highlight w:val="none"/>
        </w:rPr>
      </w:pPr>
      <w:r>
        <w:rPr>
          <w:rFonts w:hint="eastAsia" w:ascii="宋体" w:hAnsi="宋体" w:eastAsia="宋体" w:cs="宋体"/>
          <w:color w:val="383838"/>
          <w:kern w:val="0"/>
          <w:sz w:val="24"/>
          <w:szCs w:val="24"/>
          <w:highlight w:val="none"/>
        </w:rPr>
        <w:t>①至少具备能够全面履行项目拍摄要求所须的无人机、高清4K（或以上）摄像机、广角电影镜头、灯光、轨道车等拍摄装备以及相关配件。</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baseline"/>
        <w:rPr>
          <w:rFonts w:hint="eastAsia" w:ascii="宋体" w:hAnsi="宋体" w:eastAsia="宋体" w:cs="宋体"/>
          <w:color w:val="383838"/>
          <w:kern w:val="0"/>
          <w:sz w:val="24"/>
          <w:szCs w:val="24"/>
          <w:highlight w:val="none"/>
        </w:rPr>
      </w:pPr>
      <w:r>
        <w:rPr>
          <w:rFonts w:hint="eastAsia" w:ascii="宋体" w:hAnsi="宋体" w:eastAsia="宋体" w:cs="宋体"/>
          <w:color w:val="383838"/>
          <w:kern w:val="0"/>
          <w:sz w:val="24"/>
          <w:szCs w:val="24"/>
          <w:highlight w:val="none"/>
        </w:rPr>
        <w:t>②配备高清后期制作设备，专业调色系统调色，保证画面色彩。</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highlight w:val="none"/>
        </w:rPr>
      </w:pPr>
    </w:p>
    <w:p>
      <w:pPr>
        <w:pStyle w:val="5"/>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outlineLvl w:val="1"/>
        <w:rPr>
          <w:rFonts w:hint="eastAsia" w:ascii="宋体" w:hAnsi="宋体" w:eastAsia="宋体" w:cs="宋体"/>
          <w:sz w:val="24"/>
          <w:szCs w:val="24"/>
          <w:highlight w:val="none"/>
          <w:lang w:val="en-US" w:bidi="ar-SA"/>
        </w:rPr>
      </w:pPr>
      <w:bookmarkStart w:id="116" w:name="_bookmark24"/>
      <w:bookmarkEnd w:id="116"/>
      <w:r>
        <w:rPr>
          <w:rFonts w:hint="eastAsia" w:ascii="宋体" w:hAnsi="宋体" w:eastAsia="宋体" w:cs="宋体"/>
          <w:sz w:val="24"/>
          <w:szCs w:val="24"/>
          <w:highlight w:val="none"/>
          <w:lang w:val="en-US" w:eastAsia="zh-CN" w:bidi="ar-SA"/>
        </w:rPr>
        <w:t>三、</w:t>
      </w:r>
      <w:r>
        <w:rPr>
          <w:rFonts w:hint="eastAsia" w:ascii="宋体" w:hAnsi="宋体" w:eastAsia="宋体" w:cs="宋体"/>
          <w:sz w:val="24"/>
          <w:szCs w:val="24"/>
          <w:highlight w:val="none"/>
          <w:lang w:val="en-US" w:bidi="ar-SA"/>
        </w:rPr>
        <w:t>商务要求（实质性要求）</w:t>
      </w:r>
    </w:p>
    <w:p>
      <w:pPr>
        <w:widowControl/>
        <w:spacing w:line="360" w:lineRule="auto"/>
        <w:ind w:firstLine="480" w:firstLineChars="200"/>
        <w:jc w:val="left"/>
        <w:textAlignment w:val="baseline"/>
        <w:outlineLvl w:val="0"/>
        <w:rPr>
          <w:rFonts w:hint="eastAsia" w:ascii="宋体" w:hAnsi="宋体" w:eastAsia="宋体" w:cs="宋体"/>
          <w:sz w:val="24"/>
          <w:highlight w:val="none"/>
        </w:rPr>
      </w:pPr>
      <w:r>
        <w:rPr>
          <w:rFonts w:hint="eastAsia" w:ascii="宋体" w:hAnsi="宋体" w:eastAsia="宋体" w:cs="宋体"/>
          <w:sz w:val="24"/>
          <w:highlight w:val="none"/>
        </w:rPr>
        <w:t>1、服务期限：合同签订后</w:t>
      </w:r>
      <w:r>
        <w:rPr>
          <w:rFonts w:hint="eastAsia" w:ascii="宋体" w:hAnsi="宋体" w:eastAsia="宋体" w:cs="宋体"/>
          <w:sz w:val="24"/>
          <w:highlight w:val="none"/>
          <w:lang w:val="en-US" w:eastAsia="zh-CN"/>
        </w:rPr>
        <w:t>至</w:t>
      </w:r>
      <w:r>
        <w:rPr>
          <w:rFonts w:hint="default" w:ascii="宋体" w:hAnsi="宋体" w:eastAsia="宋体" w:cs="宋体"/>
          <w:sz w:val="24"/>
          <w:highlight w:val="none"/>
          <w:lang w:eastAsia="zh-Hans"/>
        </w:rPr>
        <w:t>202</w:t>
      </w:r>
      <w:r>
        <w:rPr>
          <w:rFonts w:hint="eastAsia" w:ascii="宋体" w:hAnsi="宋体" w:eastAsia="宋体" w:cs="宋体"/>
          <w:sz w:val="24"/>
          <w:highlight w:val="none"/>
          <w:lang w:eastAsia="zh-CN"/>
        </w:rPr>
        <w:t>2</w:t>
      </w:r>
      <w:r>
        <w:rPr>
          <w:rFonts w:hint="eastAsia" w:ascii="宋体" w:hAnsi="宋体" w:eastAsia="宋体" w:cs="宋体"/>
          <w:sz w:val="24"/>
          <w:highlight w:val="none"/>
          <w:lang w:val="en-US" w:eastAsia="zh-Hans"/>
        </w:rPr>
        <w:t>年</w:t>
      </w:r>
      <w:r>
        <w:rPr>
          <w:rFonts w:hint="default" w:ascii="宋体" w:hAnsi="宋体" w:eastAsia="宋体" w:cs="宋体"/>
          <w:sz w:val="24"/>
          <w:highlight w:val="none"/>
          <w:lang w:eastAsia="zh-Hans"/>
        </w:rPr>
        <w:t>12</w:t>
      </w:r>
      <w:r>
        <w:rPr>
          <w:rFonts w:hint="eastAsia" w:ascii="宋体" w:hAnsi="宋体" w:eastAsia="宋体" w:cs="宋体"/>
          <w:sz w:val="24"/>
          <w:highlight w:val="none"/>
          <w:lang w:val="en-US" w:eastAsia="zh-Hans"/>
        </w:rPr>
        <w:t>月</w:t>
      </w:r>
      <w:r>
        <w:rPr>
          <w:rFonts w:hint="default" w:ascii="宋体" w:hAnsi="宋体" w:eastAsia="宋体" w:cs="宋体"/>
          <w:sz w:val="24"/>
          <w:highlight w:val="none"/>
          <w:lang w:eastAsia="zh-Hans"/>
        </w:rPr>
        <w:t>31</w:t>
      </w:r>
      <w:r>
        <w:rPr>
          <w:rFonts w:hint="eastAsia" w:ascii="宋体" w:hAnsi="宋体" w:eastAsia="宋体" w:cs="宋体"/>
          <w:sz w:val="24"/>
          <w:highlight w:val="none"/>
          <w:lang w:val="en-US" w:eastAsia="zh-Hans"/>
        </w:rPr>
        <w:t>日</w:t>
      </w:r>
      <w:r>
        <w:rPr>
          <w:rFonts w:hint="eastAsia" w:ascii="宋体" w:hAnsi="宋体" w:eastAsia="宋体" w:cs="宋体"/>
          <w:sz w:val="24"/>
          <w:highlight w:val="none"/>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both"/>
        <w:textAlignment w:val="auto"/>
        <w:rPr>
          <w:rFonts w:hint="eastAsia" w:ascii="宋体" w:hAnsi="宋体" w:eastAsia="宋体" w:cs="宋体"/>
          <w:sz w:val="24"/>
          <w:highlight w:val="none"/>
        </w:rPr>
      </w:pPr>
      <w:r>
        <w:rPr>
          <w:rFonts w:hint="eastAsia" w:ascii="宋体" w:hAnsi="宋体" w:eastAsia="宋体" w:cs="宋体"/>
          <w:sz w:val="24"/>
          <w:highlight w:val="none"/>
        </w:rPr>
        <w:t>2、</w:t>
      </w:r>
      <w:r>
        <w:rPr>
          <w:rFonts w:hint="eastAsia" w:ascii="宋体" w:hAnsi="宋体" w:eastAsia="宋体" w:cs="宋体"/>
          <w:sz w:val="24"/>
          <w:highlight w:val="none"/>
          <w:lang w:val="zh-CN"/>
        </w:rPr>
        <w:t>付款方式：</w:t>
      </w:r>
      <w:r>
        <w:rPr>
          <w:rFonts w:hint="eastAsia" w:ascii="宋体" w:hAnsi="宋体" w:eastAsia="宋体" w:cs="宋体"/>
          <w:sz w:val="24"/>
          <w:highlight w:val="none"/>
          <w:lang w:val="en-US" w:eastAsia="zh-CN"/>
        </w:rPr>
        <w:t>以合同约定为准</w:t>
      </w:r>
      <w:r>
        <w:rPr>
          <w:rFonts w:hint="eastAsia" w:ascii="宋体" w:hAnsi="宋体" w:eastAsia="宋体" w:cs="宋体"/>
          <w:sz w:val="24"/>
          <w:highlight w:val="none"/>
        </w:rPr>
        <w:t>。</w:t>
      </w:r>
    </w:p>
    <w:p>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highlight w:val="none"/>
        </w:rPr>
      </w:pPr>
      <w:r>
        <w:rPr>
          <w:rFonts w:hint="eastAsia" w:ascii="宋体" w:hAnsi="宋体" w:eastAsia="宋体" w:cs="宋体"/>
          <w:sz w:val="24"/>
          <w:highlight w:val="none"/>
        </w:rPr>
        <w:t>3、履约验收方式：</w:t>
      </w:r>
    </w:p>
    <w:p>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highlight w:val="none"/>
        </w:rPr>
      </w:pPr>
      <w:r>
        <w:rPr>
          <w:rFonts w:hint="eastAsia" w:ascii="宋体" w:hAnsi="宋体" w:eastAsia="宋体" w:cs="宋体"/>
          <w:sz w:val="24"/>
          <w:highlight w:val="none"/>
        </w:rPr>
        <w:t>按国家有关规定以及本项目</w:t>
      </w:r>
      <w:r>
        <w:rPr>
          <w:rFonts w:hint="eastAsia" w:ascii="宋体" w:hAnsi="宋体" w:eastAsia="宋体" w:cs="宋体"/>
          <w:sz w:val="24"/>
          <w:highlight w:val="none"/>
          <w:lang w:val="en-US" w:eastAsia="zh-CN"/>
        </w:rPr>
        <w:t>采购</w:t>
      </w:r>
      <w:r>
        <w:rPr>
          <w:rFonts w:hint="eastAsia" w:ascii="宋体" w:hAnsi="宋体" w:eastAsia="宋体" w:cs="宋体"/>
          <w:sz w:val="24"/>
          <w:highlight w:val="none"/>
        </w:rPr>
        <w:t>文件的质量要求和技术指标或者</w:t>
      </w:r>
      <w:r>
        <w:rPr>
          <w:rFonts w:hint="eastAsia" w:ascii="宋体" w:hAnsi="宋体" w:eastAsia="宋体" w:cs="宋体"/>
          <w:sz w:val="24"/>
          <w:highlight w:val="none"/>
          <w:lang w:val="en-US" w:eastAsia="zh-CN"/>
        </w:rPr>
        <w:t>成交人</w:t>
      </w:r>
      <w:r>
        <w:rPr>
          <w:rFonts w:hint="eastAsia" w:ascii="宋体" w:hAnsi="宋体" w:eastAsia="宋体" w:cs="宋体"/>
          <w:sz w:val="24"/>
          <w:highlight w:val="none"/>
        </w:rPr>
        <w:t>的</w:t>
      </w:r>
      <w:r>
        <w:rPr>
          <w:rFonts w:hint="eastAsia" w:ascii="宋体" w:hAnsi="宋体" w:eastAsia="宋体" w:cs="宋体"/>
          <w:sz w:val="24"/>
          <w:highlight w:val="none"/>
          <w:lang w:val="en-US" w:eastAsia="zh-CN"/>
        </w:rPr>
        <w:t>响应</w:t>
      </w:r>
      <w:r>
        <w:rPr>
          <w:rFonts w:hint="eastAsia" w:ascii="宋体" w:hAnsi="宋体" w:eastAsia="宋体" w:cs="宋体"/>
          <w:sz w:val="24"/>
          <w:highlight w:val="none"/>
        </w:rPr>
        <w:t>文件及承诺等进行验收。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cs="宋体"/>
          <w:color w:val="auto"/>
          <w:sz w:val="24"/>
          <w:highlight w:val="none"/>
        </w:rPr>
      </w:pPr>
      <w:r>
        <w:rPr>
          <w:rFonts w:hint="eastAsia" w:ascii="宋体" w:hAnsi="宋体" w:cs="宋体"/>
          <w:color w:val="auto"/>
          <w:sz w:val="24"/>
          <w:highlight w:val="none"/>
        </w:rPr>
        <w:br w:type="page"/>
      </w:r>
    </w:p>
    <w:p>
      <w:pPr>
        <w:pStyle w:val="3"/>
        <w:numPr>
          <w:ilvl w:val="0"/>
          <w:numId w:val="1"/>
        </w:numPr>
        <w:spacing w:before="0" w:after="0" w:line="360" w:lineRule="auto"/>
        <w:jc w:val="center"/>
        <w:rPr>
          <w:color w:val="auto"/>
          <w:highlight w:val="none"/>
        </w:rPr>
      </w:pPr>
      <w:bookmarkStart w:id="117" w:name="_Toc19570_WPSOffice_Level1"/>
      <w:bookmarkStart w:id="118" w:name="_Toc23248_WPSOffice_Level1"/>
      <w:r>
        <w:rPr>
          <w:rFonts w:hint="eastAsia"/>
          <w:color w:val="auto"/>
          <w:highlight w:val="none"/>
        </w:rPr>
        <w:t xml:space="preserve"> </w:t>
      </w:r>
      <w:bookmarkStart w:id="119" w:name="_Toc20821"/>
      <w:r>
        <w:rPr>
          <w:rFonts w:hint="eastAsia"/>
          <w:color w:val="auto"/>
          <w:highlight w:val="none"/>
        </w:rPr>
        <w:t>磋商内容、磋商过程中可实质性变动的内容</w:t>
      </w:r>
      <w:bookmarkEnd w:id="119"/>
    </w:p>
    <w:p>
      <w:pPr>
        <w:spacing w:line="360" w:lineRule="auto"/>
        <w:ind w:firstLine="480" w:firstLineChars="200"/>
        <w:rPr>
          <w:color w:val="auto"/>
          <w:sz w:val="24"/>
          <w:szCs w:val="32"/>
          <w:highlight w:val="none"/>
        </w:rPr>
      </w:pPr>
    </w:p>
    <w:p>
      <w:pPr>
        <w:spacing w:line="360" w:lineRule="auto"/>
        <w:ind w:firstLine="480" w:firstLineChars="200"/>
        <w:rPr>
          <w:color w:val="auto"/>
          <w:highlight w:val="none"/>
        </w:rPr>
      </w:pPr>
      <w:r>
        <w:rPr>
          <w:rFonts w:hint="eastAsia"/>
          <w:color w:val="auto"/>
          <w:sz w:val="24"/>
          <w:szCs w:val="32"/>
          <w:highlight w:val="none"/>
        </w:rPr>
        <w:t>针对第五章、第九章所包含的技术、服务要求以及合同草案条款，在磋商过程中，磋商小组在获得采购人代表确认的前提下，可以根据磋商情况实质性变动相关内容。磋商小组对磋商文件作出的实质性变动是磋商文件的有效组成部分，磋商小组会及时以书面形式通知所有参加磋商的供应商。</w:t>
      </w:r>
      <w:r>
        <w:rPr>
          <w:rFonts w:hint="eastAsia" w:ascii="宋体" w:cs="宋体"/>
          <w:color w:val="auto"/>
          <w:highlight w:val="none"/>
        </w:rPr>
        <w:br w:type="page"/>
      </w:r>
      <w:bookmarkEnd w:id="117"/>
      <w:bookmarkEnd w:id="118"/>
    </w:p>
    <w:p>
      <w:pPr>
        <w:pStyle w:val="3"/>
        <w:numPr>
          <w:ilvl w:val="0"/>
          <w:numId w:val="1"/>
        </w:numPr>
        <w:spacing w:before="0" w:after="0" w:line="360" w:lineRule="auto"/>
        <w:jc w:val="center"/>
        <w:rPr>
          <w:color w:val="auto"/>
          <w:highlight w:val="none"/>
        </w:rPr>
      </w:pPr>
      <w:r>
        <w:rPr>
          <w:rFonts w:hint="eastAsia"/>
          <w:color w:val="auto"/>
          <w:highlight w:val="none"/>
        </w:rPr>
        <w:t xml:space="preserve"> </w:t>
      </w:r>
      <w:bookmarkStart w:id="120" w:name="_Toc14112"/>
      <w:r>
        <w:rPr>
          <w:rFonts w:hint="eastAsia"/>
          <w:color w:val="auto"/>
          <w:highlight w:val="none"/>
        </w:rPr>
        <w:t>响应文件格式</w:t>
      </w:r>
      <w:bookmarkEnd w:id="120"/>
    </w:p>
    <w:p>
      <w:pPr>
        <w:spacing w:line="360" w:lineRule="auto"/>
        <w:rPr>
          <w:color w:val="auto"/>
          <w:sz w:val="24"/>
          <w:highlight w:val="none"/>
        </w:rPr>
      </w:pPr>
    </w:p>
    <w:p>
      <w:pPr>
        <w:spacing w:line="360" w:lineRule="auto"/>
        <w:rPr>
          <w:color w:val="auto"/>
          <w:sz w:val="24"/>
          <w:highlight w:val="none"/>
        </w:rPr>
      </w:pPr>
      <w:r>
        <w:rPr>
          <w:rFonts w:hint="eastAsia"/>
          <w:color w:val="auto"/>
          <w:sz w:val="24"/>
          <w:highlight w:val="none"/>
        </w:rPr>
        <w:t>（一）本章所制响应文件格式，除格式中明确将该格式作为实质性要求的，一律不具有强制性，但是，供应商响应文件相关资料和本章所制格式不一致的，磋商小组将在评分时以响应文件不规范予以扣分处理。</w:t>
      </w:r>
    </w:p>
    <w:p>
      <w:pPr>
        <w:spacing w:line="360" w:lineRule="auto"/>
        <w:rPr>
          <w:color w:val="auto"/>
          <w:sz w:val="24"/>
          <w:highlight w:val="none"/>
        </w:rPr>
      </w:pPr>
      <w:r>
        <w:rPr>
          <w:rFonts w:hint="eastAsia"/>
          <w:color w:val="auto"/>
          <w:sz w:val="24"/>
          <w:highlight w:val="none"/>
        </w:rPr>
        <w:t>（二）本章所制响应文件格式有关表格中的备注栏，由供应商根据自身响应情况作解释性说明，不作为必填项。</w:t>
      </w:r>
    </w:p>
    <w:p>
      <w:pPr>
        <w:numPr>
          <w:ilvl w:val="0"/>
          <w:numId w:val="2"/>
        </w:numPr>
        <w:spacing w:line="360" w:lineRule="auto"/>
        <w:rPr>
          <w:color w:val="auto"/>
          <w:sz w:val="24"/>
          <w:highlight w:val="none"/>
        </w:rPr>
      </w:pPr>
      <w:r>
        <w:rPr>
          <w:rFonts w:hint="eastAsia"/>
          <w:color w:val="auto"/>
          <w:sz w:val="24"/>
          <w:highlight w:val="none"/>
        </w:rPr>
        <w:t>本章所制响应文件格式中需要填写的相关内容事项，可能会与本采购项目无关，在不改变响应文件原义、不影响本项目采购需求的情况下，供应商可以不予填写。</w:t>
      </w:r>
    </w:p>
    <w:p>
      <w:pPr>
        <w:pStyle w:val="2"/>
        <w:numPr>
          <w:ilvl w:val="0"/>
          <w:numId w:val="2"/>
        </w:numPr>
        <w:spacing w:line="360" w:lineRule="auto"/>
        <w:rPr>
          <w:rFonts w:ascii="Times New Roman" w:eastAsia="宋体"/>
          <w:color w:val="auto"/>
          <w:sz w:val="24"/>
          <w:szCs w:val="24"/>
          <w:highlight w:val="none"/>
        </w:rPr>
      </w:pPr>
      <w:r>
        <w:rPr>
          <w:rFonts w:hint="eastAsia" w:ascii="Times New Roman" w:eastAsia="宋体"/>
          <w:color w:val="auto"/>
          <w:sz w:val="24"/>
          <w:szCs w:val="24"/>
          <w:highlight w:val="none"/>
        </w:rPr>
        <w:t>本章所制响应文件格式中“注”的部分，供应商在编制响应文件时可以删除，也可以保留。</w:t>
      </w:r>
    </w:p>
    <w:p>
      <w:pPr>
        <w:pStyle w:val="2"/>
        <w:numPr>
          <w:ilvl w:val="0"/>
          <w:numId w:val="2"/>
        </w:numPr>
        <w:spacing w:line="360" w:lineRule="auto"/>
        <w:rPr>
          <w:rFonts w:ascii="Times New Roman" w:eastAsia="宋体"/>
          <w:color w:val="auto"/>
          <w:sz w:val="24"/>
          <w:szCs w:val="24"/>
          <w:highlight w:val="none"/>
        </w:rPr>
      </w:pPr>
      <w:r>
        <w:rPr>
          <w:rFonts w:hint="eastAsia" w:ascii="Times New Roman" w:eastAsia="宋体"/>
          <w:color w:val="auto"/>
          <w:sz w:val="24"/>
          <w:szCs w:val="24"/>
          <w:highlight w:val="none"/>
        </w:rPr>
        <w:t>本章所制响应文件格式中涉及“法定代表人”的描述，在非法人机构参与磋商情况下可修改为“负责人”，在自然人参与磋商情况下可修改为“本人”。</w:t>
      </w:r>
    </w:p>
    <w:p>
      <w:pPr>
        <w:pStyle w:val="2"/>
        <w:numPr>
          <w:ilvl w:val="0"/>
          <w:numId w:val="2"/>
        </w:numPr>
        <w:spacing w:line="360" w:lineRule="auto"/>
        <w:rPr>
          <w:rFonts w:ascii="Times New Roman" w:eastAsia="宋体"/>
          <w:color w:val="auto"/>
          <w:sz w:val="24"/>
          <w:szCs w:val="24"/>
          <w:highlight w:val="none"/>
        </w:rPr>
      </w:pPr>
      <w:r>
        <w:rPr>
          <w:rFonts w:hint="eastAsia" w:ascii="Times New Roman" w:eastAsia="宋体"/>
          <w:color w:val="auto"/>
          <w:sz w:val="24"/>
          <w:szCs w:val="24"/>
          <w:highlight w:val="none"/>
        </w:rPr>
        <w:t>本章所制响应文件格式中涉及加盖供应商公章的地方，在自然人参与磋商情况下可删除，仅由自然人本人或其响应代表签字即可。</w:t>
      </w:r>
    </w:p>
    <w:p>
      <w:pPr>
        <w:pStyle w:val="2"/>
        <w:rPr>
          <w:rFonts w:ascii="宋体" w:hAnsi="宋体" w:eastAsia="宋体"/>
          <w:color w:val="auto"/>
          <w:highlight w:val="none"/>
        </w:rPr>
      </w:pPr>
      <w:r>
        <w:rPr>
          <w:color w:val="auto"/>
          <w:highlight w:val="none"/>
        </w:rPr>
        <w:br w:type="page"/>
      </w:r>
      <w:bookmarkStart w:id="121" w:name="_Toc14906_WPSOffice_Level2"/>
      <w:bookmarkStart w:id="122" w:name="_Toc15373_WPSOffice_Level2"/>
      <w:r>
        <w:rPr>
          <w:rFonts w:hint="eastAsia" w:ascii="宋体" w:hAnsi="宋体" w:eastAsia="宋体"/>
          <w:color w:val="auto"/>
          <w:highlight w:val="none"/>
        </w:rPr>
        <w:t>（封面格式）</w:t>
      </w:r>
      <w:bookmarkEnd w:id="121"/>
      <w:bookmarkEnd w:id="122"/>
    </w:p>
    <w:p>
      <w:pPr>
        <w:autoSpaceDE w:val="0"/>
        <w:autoSpaceDN w:val="0"/>
        <w:adjustRightInd w:val="0"/>
        <w:ind w:firstLine="1680" w:firstLineChars="200"/>
        <w:jc w:val="center"/>
        <w:rPr>
          <w:rFonts w:ascii="宋体" w:hAnsi="宋体"/>
          <w:color w:val="auto"/>
          <w:sz w:val="84"/>
          <w:szCs w:val="84"/>
          <w:highlight w:val="none"/>
        </w:rPr>
      </w:pPr>
    </w:p>
    <w:p>
      <w:pPr>
        <w:autoSpaceDE w:val="0"/>
        <w:autoSpaceDN w:val="0"/>
        <w:adjustRightInd w:val="0"/>
        <w:ind w:firstLine="1680" w:firstLineChars="200"/>
        <w:jc w:val="center"/>
        <w:rPr>
          <w:rFonts w:ascii="宋体" w:hAnsi="宋体"/>
          <w:color w:val="auto"/>
          <w:sz w:val="84"/>
          <w:szCs w:val="84"/>
          <w:highlight w:val="none"/>
        </w:rPr>
      </w:pPr>
    </w:p>
    <w:p>
      <w:pPr>
        <w:autoSpaceDE w:val="0"/>
        <w:autoSpaceDN w:val="0"/>
        <w:adjustRightInd w:val="0"/>
        <w:jc w:val="center"/>
        <w:rPr>
          <w:rFonts w:ascii="宋体" w:hAnsi="宋体"/>
          <w:color w:val="auto"/>
          <w:sz w:val="84"/>
          <w:szCs w:val="84"/>
          <w:highlight w:val="none"/>
        </w:rPr>
      </w:pPr>
      <w:bookmarkStart w:id="123" w:name="_Toc2971_WPSOffice_Level2"/>
      <w:bookmarkStart w:id="124" w:name="_Toc7834_WPSOffice_Level2"/>
      <w:r>
        <w:rPr>
          <w:rFonts w:hint="eastAsia" w:ascii="宋体" w:hAnsi="宋体"/>
          <w:color w:val="auto"/>
          <w:sz w:val="84"/>
          <w:szCs w:val="84"/>
          <w:highlight w:val="none"/>
        </w:rPr>
        <w:t>资格性</w:t>
      </w:r>
      <w:r>
        <w:rPr>
          <w:rFonts w:hint="eastAsia" w:hAnsi="宋体"/>
          <w:color w:val="auto"/>
          <w:sz w:val="84"/>
          <w:szCs w:val="84"/>
          <w:highlight w:val="none"/>
        </w:rPr>
        <w:t>响应文件</w:t>
      </w:r>
      <w:bookmarkEnd w:id="123"/>
      <w:bookmarkEnd w:id="124"/>
    </w:p>
    <w:p>
      <w:pPr>
        <w:autoSpaceDE w:val="0"/>
        <w:autoSpaceDN w:val="0"/>
        <w:adjustRightInd w:val="0"/>
        <w:spacing w:line="520" w:lineRule="exact"/>
        <w:ind w:firstLine="880" w:firstLineChars="200"/>
        <w:jc w:val="center"/>
        <w:rPr>
          <w:rFonts w:ascii="宋体" w:hAnsi="宋体"/>
          <w:color w:val="auto"/>
          <w:sz w:val="44"/>
          <w:highlight w:val="none"/>
        </w:rPr>
      </w:pPr>
    </w:p>
    <w:p>
      <w:pPr>
        <w:autoSpaceDE w:val="0"/>
        <w:autoSpaceDN w:val="0"/>
        <w:adjustRightInd w:val="0"/>
        <w:spacing w:line="520" w:lineRule="exact"/>
        <w:jc w:val="center"/>
        <w:rPr>
          <w:rFonts w:ascii="宋体" w:hAnsi="宋体"/>
          <w:color w:val="auto"/>
          <w:sz w:val="44"/>
          <w:highlight w:val="none"/>
        </w:rPr>
      </w:pPr>
      <w:bookmarkStart w:id="125" w:name="_Toc17870_WPSOffice_Level2"/>
      <w:bookmarkStart w:id="126" w:name="_Toc15121_WPSOffice_Level2"/>
      <w:r>
        <w:rPr>
          <w:rFonts w:hint="eastAsia" w:ascii="宋体" w:hAnsi="宋体"/>
          <w:color w:val="auto"/>
          <w:sz w:val="44"/>
          <w:highlight w:val="none"/>
        </w:rPr>
        <w:t>（正本/副本）</w:t>
      </w:r>
      <w:bookmarkEnd w:id="125"/>
      <w:bookmarkEnd w:id="126"/>
    </w:p>
    <w:p>
      <w:pPr>
        <w:pStyle w:val="2"/>
        <w:rPr>
          <w:rFonts w:ascii="宋体" w:hAnsi="宋体"/>
          <w:color w:val="auto"/>
          <w:sz w:val="44"/>
          <w:highlight w:val="none"/>
        </w:rPr>
      </w:pPr>
    </w:p>
    <w:p>
      <w:pPr>
        <w:pStyle w:val="2"/>
        <w:rPr>
          <w:rFonts w:ascii="宋体" w:hAnsi="宋体"/>
          <w:color w:val="auto"/>
          <w:sz w:val="44"/>
          <w:highlight w:val="none"/>
        </w:rPr>
      </w:pPr>
    </w:p>
    <w:p>
      <w:pPr>
        <w:pStyle w:val="2"/>
        <w:rPr>
          <w:rFonts w:ascii="宋体" w:hAnsi="宋体"/>
          <w:color w:val="auto"/>
          <w:sz w:val="44"/>
          <w:highlight w:val="none"/>
        </w:rPr>
      </w:pPr>
    </w:p>
    <w:p>
      <w:pPr>
        <w:autoSpaceDE w:val="0"/>
        <w:autoSpaceDN w:val="0"/>
        <w:adjustRightInd w:val="0"/>
        <w:snapToGrid w:val="0"/>
        <w:spacing w:after="156" w:afterLines="50" w:line="360" w:lineRule="auto"/>
        <w:ind w:firstLine="640" w:firstLineChars="200"/>
        <w:rPr>
          <w:rFonts w:ascii="宋体" w:hAnsi="宋体"/>
          <w:color w:val="auto"/>
          <w:sz w:val="32"/>
          <w:szCs w:val="32"/>
          <w:highlight w:val="none"/>
        </w:rPr>
      </w:pPr>
      <w:r>
        <w:rPr>
          <w:rFonts w:hint="eastAsia" w:ascii="宋体" w:hAnsi="宋体"/>
          <w:color w:val="auto"/>
          <w:sz w:val="32"/>
          <w:szCs w:val="32"/>
          <w:highlight w:val="none"/>
        </w:rPr>
        <w:t>项目编号：</w:t>
      </w:r>
      <w:r>
        <w:rPr>
          <w:rFonts w:hint="eastAsia" w:ascii="宋体" w:hAnsi="宋体"/>
          <w:color w:val="auto"/>
          <w:sz w:val="32"/>
          <w:szCs w:val="32"/>
          <w:highlight w:val="none"/>
          <w:u w:val="single"/>
        </w:rPr>
        <w:t xml:space="preserve">                     </w:t>
      </w:r>
    </w:p>
    <w:p>
      <w:pPr>
        <w:autoSpaceDE w:val="0"/>
        <w:autoSpaceDN w:val="0"/>
        <w:adjustRightInd w:val="0"/>
        <w:snapToGrid w:val="0"/>
        <w:spacing w:after="156" w:afterLines="50" w:line="360" w:lineRule="auto"/>
        <w:ind w:firstLine="640" w:firstLineChars="200"/>
        <w:rPr>
          <w:rFonts w:ascii="宋体" w:hAnsi="宋体"/>
          <w:color w:val="auto"/>
          <w:sz w:val="32"/>
          <w:szCs w:val="32"/>
          <w:highlight w:val="none"/>
          <w:u w:val="single"/>
        </w:rPr>
      </w:pPr>
      <w:r>
        <w:rPr>
          <w:rFonts w:hint="eastAsia" w:ascii="宋体" w:hAnsi="宋体"/>
          <w:color w:val="auto"/>
          <w:sz w:val="32"/>
          <w:szCs w:val="32"/>
          <w:highlight w:val="none"/>
        </w:rPr>
        <w:t>项目名称：</w:t>
      </w:r>
      <w:r>
        <w:rPr>
          <w:rFonts w:hint="eastAsia" w:ascii="宋体" w:hAnsi="宋体"/>
          <w:color w:val="auto"/>
          <w:sz w:val="32"/>
          <w:szCs w:val="32"/>
          <w:highlight w:val="none"/>
          <w:u w:val="single"/>
        </w:rPr>
        <w:t xml:space="preserve">                     </w:t>
      </w:r>
    </w:p>
    <w:p>
      <w:pPr>
        <w:autoSpaceDE w:val="0"/>
        <w:autoSpaceDN w:val="0"/>
        <w:adjustRightInd w:val="0"/>
        <w:snapToGrid w:val="0"/>
        <w:spacing w:after="156" w:afterLines="50" w:line="360" w:lineRule="auto"/>
        <w:ind w:firstLine="640" w:firstLineChars="200"/>
        <w:rPr>
          <w:rFonts w:ascii="宋体" w:hAnsi="宋体"/>
          <w:color w:val="auto"/>
          <w:sz w:val="32"/>
          <w:szCs w:val="32"/>
          <w:highlight w:val="none"/>
        </w:rPr>
      </w:pPr>
    </w:p>
    <w:p>
      <w:pPr>
        <w:autoSpaceDE w:val="0"/>
        <w:autoSpaceDN w:val="0"/>
        <w:adjustRightInd w:val="0"/>
        <w:snapToGrid w:val="0"/>
        <w:spacing w:after="156" w:afterLines="50" w:line="360" w:lineRule="auto"/>
        <w:ind w:firstLine="640" w:firstLineChars="200"/>
        <w:rPr>
          <w:rFonts w:ascii="宋体" w:hAnsi="宋体"/>
          <w:color w:val="auto"/>
          <w:sz w:val="32"/>
          <w:szCs w:val="32"/>
          <w:highlight w:val="none"/>
        </w:rPr>
      </w:pPr>
      <w:r>
        <w:rPr>
          <w:rFonts w:hint="eastAsia" w:ascii="宋体" w:hAnsi="宋体"/>
          <w:color w:val="auto"/>
          <w:sz w:val="32"/>
          <w:szCs w:val="32"/>
          <w:highlight w:val="none"/>
        </w:rPr>
        <w:t>供 应 商：</w:t>
      </w:r>
      <w:r>
        <w:rPr>
          <w:rFonts w:ascii="宋体" w:hAnsi="宋体"/>
          <w:color w:val="auto"/>
          <w:sz w:val="32"/>
          <w:szCs w:val="32"/>
          <w:highlight w:val="none"/>
          <w:u w:val="single"/>
        </w:rPr>
        <w:t xml:space="preserve"> </w:t>
      </w:r>
      <w:r>
        <w:rPr>
          <w:rFonts w:hint="eastAsia" w:ascii="宋体" w:hAnsi="宋体"/>
          <w:color w:val="auto"/>
          <w:sz w:val="32"/>
          <w:szCs w:val="32"/>
          <w:highlight w:val="none"/>
          <w:u w:val="single"/>
        </w:rPr>
        <w:t xml:space="preserve">                    </w:t>
      </w:r>
      <w:r>
        <w:rPr>
          <w:rFonts w:hint="eastAsia" w:ascii="宋体" w:hAnsi="宋体"/>
          <w:color w:val="auto"/>
          <w:sz w:val="32"/>
          <w:szCs w:val="32"/>
          <w:highlight w:val="none"/>
        </w:rPr>
        <w:t>（公章）</w:t>
      </w:r>
    </w:p>
    <w:p>
      <w:pPr>
        <w:autoSpaceDE w:val="0"/>
        <w:autoSpaceDN w:val="0"/>
        <w:adjustRightInd w:val="0"/>
        <w:snapToGrid w:val="0"/>
        <w:spacing w:after="156" w:afterLines="50" w:line="360" w:lineRule="auto"/>
        <w:ind w:firstLine="640" w:firstLineChars="200"/>
        <w:rPr>
          <w:rFonts w:ascii="宋体" w:hAnsi="宋体"/>
          <w:color w:val="auto"/>
          <w:sz w:val="32"/>
          <w:szCs w:val="32"/>
          <w:highlight w:val="none"/>
        </w:rPr>
      </w:pPr>
      <w:r>
        <w:rPr>
          <w:rFonts w:hint="eastAsia" w:ascii="宋体" w:hAnsi="宋体"/>
          <w:color w:val="auto"/>
          <w:sz w:val="32"/>
          <w:szCs w:val="32"/>
          <w:highlight w:val="none"/>
        </w:rPr>
        <w:t>日    期：</w:t>
      </w:r>
      <w:r>
        <w:rPr>
          <w:rFonts w:hint="eastAsia" w:ascii="宋体" w:hAnsi="宋体"/>
          <w:color w:val="auto"/>
          <w:sz w:val="32"/>
          <w:szCs w:val="32"/>
          <w:highlight w:val="none"/>
          <w:u w:val="single"/>
        </w:rPr>
        <w:t xml:space="preserve">     </w:t>
      </w:r>
      <w:r>
        <w:rPr>
          <w:rFonts w:hint="eastAsia" w:ascii="宋体" w:hAnsi="宋体"/>
          <w:color w:val="auto"/>
          <w:sz w:val="32"/>
          <w:szCs w:val="32"/>
          <w:highlight w:val="none"/>
        </w:rPr>
        <w:t>年</w:t>
      </w:r>
      <w:r>
        <w:rPr>
          <w:rFonts w:hint="eastAsia" w:ascii="宋体" w:hAnsi="宋体"/>
          <w:color w:val="auto"/>
          <w:sz w:val="32"/>
          <w:szCs w:val="32"/>
          <w:highlight w:val="none"/>
          <w:u w:val="single"/>
        </w:rPr>
        <w:t xml:space="preserve">     </w:t>
      </w:r>
      <w:r>
        <w:rPr>
          <w:rFonts w:hint="eastAsia" w:ascii="宋体" w:hAnsi="宋体"/>
          <w:color w:val="auto"/>
          <w:sz w:val="32"/>
          <w:szCs w:val="32"/>
          <w:highlight w:val="none"/>
        </w:rPr>
        <w:t>月</w:t>
      </w:r>
      <w:r>
        <w:rPr>
          <w:rFonts w:hint="eastAsia" w:ascii="宋体" w:hAnsi="宋体"/>
          <w:color w:val="auto"/>
          <w:sz w:val="32"/>
          <w:szCs w:val="32"/>
          <w:highlight w:val="none"/>
          <w:u w:val="single"/>
        </w:rPr>
        <w:t xml:space="preserve">     </w:t>
      </w:r>
      <w:r>
        <w:rPr>
          <w:rFonts w:hint="eastAsia" w:ascii="宋体" w:hAnsi="宋体"/>
          <w:color w:val="auto"/>
          <w:sz w:val="32"/>
          <w:szCs w:val="32"/>
          <w:highlight w:val="none"/>
        </w:rPr>
        <w:t>日</w:t>
      </w:r>
    </w:p>
    <w:p>
      <w:pPr>
        <w:jc w:val="center"/>
        <w:rPr>
          <w:b/>
          <w:bCs/>
          <w:color w:val="auto"/>
          <w:sz w:val="28"/>
          <w:szCs w:val="36"/>
          <w:highlight w:val="none"/>
        </w:rPr>
      </w:pPr>
      <w:r>
        <w:rPr>
          <w:color w:val="auto"/>
          <w:highlight w:val="none"/>
        </w:rPr>
        <w:br w:type="page"/>
      </w:r>
      <w:r>
        <w:rPr>
          <w:rFonts w:hint="eastAsia"/>
          <w:b/>
          <w:bCs/>
          <w:color w:val="auto"/>
          <w:sz w:val="28"/>
          <w:szCs w:val="36"/>
          <w:highlight w:val="none"/>
        </w:rPr>
        <w:t>目录（自拟）</w:t>
      </w:r>
    </w:p>
    <w:p>
      <w:pPr>
        <w:pStyle w:val="5"/>
        <w:numPr>
          <w:ilvl w:val="0"/>
          <w:numId w:val="3"/>
        </w:numPr>
        <w:spacing w:before="0" w:after="0" w:line="360" w:lineRule="auto"/>
        <w:jc w:val="center"/>
        <w:rPr>
          <w:rFonts w:hint="eastAsia"/>
          <w:color w:val="auto"/>
          <w:highlight w:val="none"/>
        </w:rPr>
      </w:pPr>
      <w:r>
        <w:rPr>
          <w:color w:val="auto"/>
          <w:highlight w:val="none"/>
        </w:rPr>
        <w:br w:type="page"/>
      </w:r>
      <w:bookmarkStart w:id="127" w:name="_Toc27332_WPSOffice_Level2"/>
      <w:bookmarkStart w:id="128" w:name="_Toc4892_WPSOffice_Level2"/>
      <w:r>
        <w:rPr>
          <w:rFonts w:hint="eastAsia"/>
          <w:color w:val="auto"/>
          <w:highlight w:val="none"/>
        </w:rPr>
        <w:t>法定代表人授权书</w:t>
      </w:r>
    </w:p>
    <w:p>
      <w:pPr>
        <w:numPr>
          <w:ilvl w:val="0"/>
          <w:numId w:val="0"/>
        </w:numPr>
        <w:rPr>
          <w:highlight w:val="none"/>
        </w:rPr>
      </w:pPr>
    </w:p>
    <w:p>
      <w:pPr>
        <w:spacing w:line="360" w:lineRule="auto"/>
        <w:rPr>
          <w:rFonts w:ascii="宋体" w:hAnsi="宋体"/>
          <w:color w:val="auto"/>
          <w:sz w:val="24"/>
          <w:highlight w:val="none"/>
        </w:rPr>
      </w:pPr>
      <w:r>
        <w:rPr>
          <w:rFonts w:hint="eastAsia" w:ascii="宋体" w:hAnsi="宋体"/>
          <w:color w:val="auto"/>
          <w:sz w:val="24"/>
          <w:highlight w:val="none"/>
        </w:rPr>
        <w:t>四川易通天和招标代理有限公司：</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本授权声明：</w:t>
      </w:r>
      <w:r>
        <w:rPr>
          <w:rFonts w:hint="eastAsia" w:ascii="宋体" w:hAnsi="宋体"/>
          <w:color w:val="auto"/>
          <w:sz w:val="24"/>
          <w:highlight w:val="none"/>
          <w:u w:val="single"/>
        </w:rPr>
        <w:t xml:space="preserve">                     </w:t>
      </w:r>
      <w:r>
        <w:rPr>
          <w:rFonts w:hint="eastAsia" w:ascii="宋体" w:hAnsi="宋体"/>
          <w:color w:val="auto"/>
          <w:sz w:val="24"/>
          <w:highlight w:val="none"/>
        </w:rPr>
        <w:t>（</w:t>
      </w:r>
      <w:r>
        <w:rPr>
          <w:rFonts w:hint="eastAsia" w:hAnsi="宋体"/>
          <w:color w:val="auto"/>
          <w:sz w:val="24"/>
          <w:highlight w:val="none"/>
        </w:rPr>
        <w:t>供应商</w:t>
      </w:r>
      <w:r>
        <w:rPr>
          <w:rFonts w:hint="eastAsia" w:ascii="宋体" w:hAnsi="宋体"/>
          <w:color w:val="auto"/>
          <w:sz w:val="24"/>
          <w:highlight w:val="none"/>
        </w:rPr>
        <w:t>名称）</w:t>
      </w:r>
      <w:r>
        <w:rPr>
          <w:rFonts w:hint="eastAsia" w:ascii="宋体" w:hAnsi="宋体"/>
          <w:color w:val="auto"/>
          <w:sz w:val="24"/>
          <w:highlight w:val="none"/>
          <w:u w:val="single"/>
        </w:rPr>
        <w:t xml:space="preserve">          </w:t>
      </w:r>
      <w:r>
        <w:rPr>
          <w:rFonts w:hint="eastAsia" w:ascii="宋体" w:hAnsi="宋体"/>
          <w:color w:val="auto"/>
          <w:sz w:val="24"/>
          <w:highlight w:val="none"/>
        </w:rPr>
        <w:t>（法定代表人姓名、职务）授权</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（被授权人姓名、职务）为我方 “ </w:t>
      </w:r>
      <w:r>
        <w:rPr>
          <w:rFonts w:hint="eastAsia" w:ascii="宋体" w:hAnsi="宋体"/>
          <w:color w:val="auto"/>
          <w:sz w:val="24"/>
          <w:highlight w:val="none"/>
          <w:u w:val="single"/>
        </w:rPr>
        <w:t xml:space="preserve">             </w:t>
      </w:r>
      <w:r>
        <w:rPr>
          <w:rFonts w:hint="eastAsia" w:ascii="宋体" w:hAnsi="宋体"/>
          <w:color w:val="auto"/>
          <w:sz w:val="24"/>
          <w:highlight w:val="none"/>
        </w:rPr>
        <w:t>” 项目（项目编号：</w:t>
      </w:r>
      <w:r>
        <w:rPr>
          <w:rFonts w:hint="eastAsia" w:ascii="宋体" w:hAnsi="宋体"/>
          <w:color w:val="auto"/>
          <w:sz w:val="24"/>
          <w:highlight w:val="none"/>
          <w:u w:val="single"/>
        </w:rPr>
        <w:t xml:space="preserve">         </w:t>
      </w:r>
      <w:r>
        <w:rPr>
          <w:rFonts w:hint="eastAsia" w:ascii="宋体" w:hAnsi="宋体"/>
          <w:color w:val="auto"/>
          <w:sz w:val="24"/>
          <w:highlight w:val="none"/>
        </w:rPr>
        <w:t>）磋商采购活动的合法代表，全权处理该项目有关磋商采购、签订合同以及执行合同等一切事宜。</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特此声明。</w:t>
      </w:r>
    </w:p>
    <w:p>
      <w:pPr>
        <w:spacing w:line="360" w:lineRule="auto"/>
        <w:ind w:firstLine="480" w:firstLineChars="200"/>
        <w:rPr>
          <w:rFonts w:ascii="宋体" w:hAnsi="宋体"/>
          <w:bCs/>
          <w:color w:val="auto"/>
          <w:sz w:val="24"/>
          <w:highlight w:val="none"/>
        </w:rPr>
      </w:pPr>
    </w:p>
    <w:p>
      <w:pPr>
        <w:spacing w:line="360" w:lineRule="auto"/>
        <w:rPr>
          <w:rFonts w:ascii="宋体" w:hAnsi="宋体" w:cs="宋体"/>
          <w:color w:val="auto"/>
          <w:sz w:val="24"/>
          <w:szCs w:val="32"/>
          <w:highlight w:val="none"/>
        </w:rPr>
      </w:pPr>
      <w:r>
        <w:rPr>
          <w:rFonts w:hint="eastAsia" w:ascii="宋体" w:hAnsi="宋体" w:cs="宋体"/>
          <w:color w:val="auto"/>
          <w:sz w:val="24"/>
          <w:szCs w:val="32"/>
          <w:highlight w:val="none"/>
        </w:rPr>
        <w:t>附：（1）法定代表人有效身份证明材料正反面复印件</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（2）授权代表有效身份证明材料正反面复印件</w:t>
      </w:r>
    </w:p>
    <w:p>
      <w:pPr>
        <w:spacing w:line="400" w:lineRule="exact"/>
        <w:rPr>
          <w:rFonts w:ascii="宋体" w:hAnsi="宋体"/>
          <w:color w:val="auto"/>
          <w:sz w:val="24"/>
          <w:highlight w:val="none"/>
        </w:rPr>
      </w:pPr>
    </w:p>
    <w:p>
      <w:pPr>
        <w:spacing w:line="400" w:lineRule="exact"/>
        <w:ind w:firstLine="480" w:firstLineChars="200"/>
        <w:rPr>
          <w:rFonts w:ascii="宋体" w:hAnsi="宋体"/>
          <w:color w:val="auto"/>
          <w:sz w:val="24"/>
          <w:highlight w:val="none"/>
        </w:rPr>
      </w:pPr>
    </w:p>
    <w:p>
      <w:pPr>
        <w:spacing w:line="400" w:lineRule="exact"/>
        <w:ind w:firstLine="480" w:firstLineChars="200"/>
        <w:rPr>
          <w:rFonts w:ascii="宋体" w:hAnsi="宋体"/>
          <w:color w:val="auto"/>
          <w:sz w:val="24"/>
          <w:highlight w:val="none"/>
        </w:rPr>
      </w:pPr>
    </w:p>
    <w:p>
      <w:pPr>
        <w:pStyle w:val="2"/>
        <w:rPr>
          <w:rFonts w:ascii="宋体" w:hAnsi="宋体"/>
          <w:color w:val="auto"/>
          <w:sz w:val="24"/>
          <w:highlight w:val="none"/>
        </w:rPr>
      </w:pPr>
    </w:p>
    <w:p>
      <w:pPr>
        <w:pStyle w:val="2"/>
        <w:rPr>
          <w:rFonts w:ascii="宋体" w:hAnsi="宋体"/>
          <w:color w:val="auto"/>
          <w:sz w:val="24"/>
          <w:highlight w:val="none"/>
        </w:rPr>
      </w:pPr>
    </w:p>
    <w:p>
      <w:pPr>
        <w:pStyle w:val="2"/>
        <w:rPr>
          <w:rFonts w:ascii="宋体" w:hAnsi="宋体"/>
          <w:color w:val="auto"/>
          <w:sz w:val="24"/>
          <w:highlight w:val="none"/>
        </w:rPr>
      </w:pPr>
    </w:p>
    <w:p>
      <w:pPr>
        <w:spacing w:line="360" w:lineRule="auto"/>
        <w:ind w:firstLine="480" w:firstLineChars="200"/>
        <w:rPr>
          <w:rFonts w:ascii="宋体" w:hAnsi="宋体"/>
          <w:color w:val="auto"/>
          <w:sz w:val="24"/>
          <w:highlight w:val="none"/>
          <w:u w:val="single"/>
        </w:rPr>
      </w:pPr>
      <w:r>
        <w:rPr>
          <w:rFonts w:hint="eastAsia" w:ascii="宋体" w:hAnsi="宋体"/>
          <w:color w:val="auto"/>
          <w:sz w:val="24"/>
          <w:highlight w:val="none"/>
        </w:rPr>
        <w:t>法定代表人</w:t>
      </w:r>
      <w:r>
        <w:rPr>
          <w:rFonts w:hint="eastAsia" w:asciiTheme="minorEastAsia" w:hAnsiTheme="minorEastAsia" w:eastAsiaTheme="minorEastAsia"/>
          <w:color w:val="auto"/>
          <w:sz w:val="24"/>
          <w:highlight w:val="none"/>
        </w:rPr>
        <w:t>（签字或加盖个人名章）</w:t>
      </w:r>
      <w:r>
        <w:rPr>
          <w:rFonts w:hint="eastAsia" w:ascii="宋体" w:hAnsi="宋体"/>
          <w:color w:val="auto"/>
          <w:sz w:val="24"/>
          <w:highlight w:val="none"/>
        </w:rPr>
        <w:t>：</w:t>
      </w:r>
      <w:r>
        <w:rPr>
          <w:rFonts w:hint="eastAsia" w:ascii="宋体" w:hAnsi="宋体"/>
          <w:color w:val="auto"/>
          <w:sz w:val="24"/>
          <w:highlight w:val="none"/>
          <w:u w:val="single"/>
        </w:rPr>
        <w:t xml:space="preserve">            </w:t>
      </w:r>
    </w:p>
    <w:p>
      <w:pPr>
        <w:spacing w:line="360" w:lineRule="auto"/>
        <w:ind w:firstLine="480" w:firstLineChars="200"/>
        <w:rPr>
          <w:rFonts w:ascii="宋体" w:hAnsi="宋体"/>
          <w:color w:val="auto"/>
          <w:sz w:val="24"/>
          <w:highlight w:val="none"/>
          <w:u w:val="single"/>
        </w:rPr>
      </w:pPr>
      <w:r>
        <w:rPr>
          <w:rFonts w:hint="eastAsia" w:ascii="宋体" w:hAnsi="宋体"/>
          <w:color w:val="auto"/>
          <w:sz w:val="24"/>
          <w:highlight w:val="none"/>
        </w:rPr>
        <w:t>授权代表</w:t>
      </w:r>
      <w:r>
        <w:rPr>
          <w:rFonts w:hint="eastAsia" w:asciiTheme="minorEastAsia" w:hAnsiTheme="minorEastAsia" w:eastAsiaTheme="minorEastAsia"/>
          <w:color w:val="auto"/>
          <w:sz w:val="24"/>
          <w:highlight w:val="none"/>
        </w:rPr>
        <w:t>（签字或加盖个人名章）</w:t>
      </w:r>
      <w:r>
        <w:rPr>
          <w:rFonts w:hint="eastAsia" w:ascii="宋体" w:hAnsi="宋体"/>
          <w:color w:val="auto"/>
          <w:sz w:val="24"/>
          <w:highlight w:val="none"/>
        </w:rPr>
        <w:t>：</w:t>
      </w:r>
      <w:r>
        <w:rPr>
          <w:rFonts w:hint="eastAsia" w:ascii="宋体" w:hAnsi="宋体"/>
          <w:color w:val="auto"/>
          <w:sz w:val="24"/>
          <w:highlight w:val="none"/>
          <w:u w:val="single"/>
        </w:rPr>
        <w:t xml:space="preserve">              </w:t>
      </w:r>
    </w:p>
    <w:p>
      <w:pPr>
        <w:spacing w:line="360" w:lineRule="auto"/>
        <w:ind w:firstLine="480" w:firstLineChars="200"/>
        <w:rPr>
          <w:rFonts w:ascii="宋体" w:hAnsi="宋体"/>
          <w:color w:val="auto"/>
          <w:sz w:val="24"/>
          <w:highlight w:val="none"/>
        </w:rPr>
      </w:pPr>
      <w:r>
        <w:rPr>
          <w:rFonts w:hint="eastAsia" w:hAnsi="宋体"/>
          <w:color w:val="auto"/>
          <w:sz w:val="24"/>
          <w:highlight w:val="none"/>
        </w:rPr>
        <w:t>供应商</w:t>
      </w:r>
      <w:r>
        <w:rPr>
          <w:rFonts w:hint="eastAsia" w:ascii="宋体" w:hAnsi="宋体"/>
          <w:color w:val="auto"/>
          <w:sz w:val="24"/>
          <w:highlight w:val="none"/>
        </w:rPr>
        <w:t>名称：</w:t>
      </w:r>
      <w:r>
        <w:rPr>
          <w:rFonts w:hint="eastAsia" w:ascii="宋体" w:hAnsi="宋体"/>
          <w:color w:val="auto"/>
          <w:sz w:val="24"/>
          <w:highlight w:val="none"/>
          <w:u w:val="single"/>
        </w:rPr>
        <w:t xml:space="preserve">                      </w:t>
      </w:r>
      <w:r>
        <w:rPr>
          <w:rFonts w:hint="eastAsia" w:ascii="宋体" w:hAnsi="宋体"/>
          <w:color w:val="auto"/>
          <w:sz w:val="24"/>
          <w:highlight w:val="none"/>
        </w:rPr>
        <w:t>（盖章）</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日    期：</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ascii="宋体" w:hAnsi="宋体"/>
          <w:color w:val="auto"/>
          <w:sz w:val="24"/>
          <w:highlight w:val="none"/>
        </w:rPr>
        <w:t>年</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ascii="宋体" w:hAnsi="宋体"/>
          <w:color w:val="auto"/>
          <w:sz w:val="24"/>
          <w:highlight w:val="none"/>
        </w:rPr>
        <w:t>月</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ascii="宋体" w:hAnsi="宋体"/>
          <w:color w:val="auto"/>
          <w:sz w:val="24"/>
          <w:highlight w:val="none"/>
        </w:rPr>
        <w:t>日</w:t>
      </w:r>
    </w:p>
    <w:p>
      <w:pPr>
        <w:rPr>
          <w:color w:val="auto"/>
          <w:highlight w:val="none"/>
        </w:rPr>
      </w:pPr>
    </w:p>
    <w:p>
      <w:pPr>
        <w:spacing w:line="360" w:lineRule="auto"/>
        <w:rPr>
          <w:b/>
          <w:color w:val="auto"/>
          <w:sz w:val="24"/>
          <w:highlight w:val="none"/>
        </w:rPr>
      </w:pPr>
      <w:r>
        <w:rPr>
          <w:rFonts w:hint="eastAsia" w:ascii="宋体" w:hAnsi="宋体" w:cs="宋体"/>
          <w:color w:val="auto"/>
          <w:sz w:val="24"/>
          <w:highlight w:val="none"/>
        </w:rPr>
        <w:t>注：</w:t>
      </w:r>
      <w:r>
        <w:rPr>
          <w:rFonts w:hint="eastAsia" w:ascii="宋体" w:hAnsi="宋体" w:cs="宋体"/>
          <w:b/>
          <w:bCs/>
          <w:color w:val="auto"/>
          <w:sz w:val="24"/>
          <w:highlight w:val="none"/>
        </w:rPr>
        <w:t>1、</w:t>
      </w:r>
      <w:r>
        <w:rPr>
          <w:b/>
          <w:color w:val="auto"/>
          <w:sz w:val="24"/>
          <w:highlight w:val="none"/>
        </w:rPr>
        <w:t>法定代表人不亲自参加磋商，而授权代表参加磋商的适用。</w:t>
      </w:r>
    </w:p>
    <w:p>
      <w:pPr>
        <w:pStyle w:val="9"/>
        <w:ind w:firstLine="482" w:firstLineChars="200"/>
        <w:rPr>
          <w:rFonts w:cs="宋体"/>
          <w:color w:val="auto"/>
          <w:sz w:val="24"/>
          <w:szCs w:val="24"/>
          <w:highlight w:val="none"/>
        </w:rPr>
      </w:pPr>
      <w:r>
        <w:rPr>
          <w:rFonts w:hint="eastAsia" w:cs="宋体"/>
          <w:b/>
          <w:color w:val="auto"/>
          <w:sz w:val="24"/>
          <w:szCs w:val="24"/>
          <w:highlight w:val="none"/>
        </w:rPr>
        <w:t>2、供应商为法人单位时提供“法定代表人授权书”，供应商为其他组织时提供“单位负责人授权书”，供应商为自然人时提供“自然人身份证明材料”。</w:t>
      </w:r>
    </w:p>
    <w:p>
      <w:pPr>
        <w:spacing w:line="360" w:lineRule="auto"/>
        <w:ind w:firstLine="482" w:firstLineChars="200"/>
        <w:rPr>
          <w:rFonts w:ascii="黑体"/>
          <w:color w:val="auto"/>
          <w:highlight w:val="none"/>
        </w:rPr>
      </w:pPr>
      <w:r>
        <w:rPr>
          <w:rFonts w:hint="eastAsia" w:ascii="宋体" w:hAnsi="宋体" w:cs="宋体"/>
          <w:b/>
          <w:color w:val="auto"/>
          <w:sz w:val="24"/>
          <w:highlight w:val="none"/>
        </w:rPr>
        <w:t>3、身份证明材料包括居民身份证或户口本或军官证或护照等。</w:t>
      </w:r>
      <w:r>
        <w:rPr>
          <w:color w:val="auto"/>
          <w:sz w:val="24"/>
          <w:highlight w:val="none"/>
        </w:rPr>
        <w:br w:type="page"/>
      </w:r>
      <w:bookmarkEnd w:id="127"/>
      <w:bookmarkEnd w:id="128"/>
    </w:p>
    <w:p>
      <w:pPr>
        <w:pStyle w:val="5"/>
        <w:spacing w:before="0" w:after="0" w:line="360" w:lineRule="auto"/>
        <w:jc w:val="center"/>
        <w:rPr>
          <w:rFonts w:hint="eastAsia"/>
          <w:color w:val="auto"/>
          <w:highlight w:val="none"/>
        </w:rPr>
      </w:pPr>
      <w:r>
        <w:rPr>
          <w:rFonts w:hint="eastAsia"/>
          <w:color w:val="auto"/>
          <w:highlight w:val="none"/>
        </w:rPr>
        <w:t>一、法定代表人证明书</w:t>
      </w:r>
    </w:p>
    <w:p>
      <w:pPr>
        <w:rPr>
          <w:highlight w:val="none"/>
        </w:rPr>
      </w:pPr>
    </w:p>
    <w:p>
      <w:pPr>
        <w:pStyle w:val="2"/>
        <w:tabs>
          <w:tab w:val="left" w:pos="1519"/>
          <w:tab w:val="left" w:pos="5419"/>
        </w:tabs>
        <w:spacing w:before="241" w:line="343" w:lineRule="auto"/>
        <w:ind w:left="800" w:right="4964"/>
        <w:rPr>
          <w:rFonts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单位名称：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rPr>
        <w:tab/>
      </w:r>
    </w:p>
    <w:p>
      <w:pPr>
        <w:pStyle w:val="2"/>
        <w:tabs>
          <w:tab w:val="left" w:pos="1519"/>
          <w:tab w:val="left" w:pos="5419"/>
        </w:tabs>
        <w:spacing w:before="241" w:line="343" w:lineRule="auto"/>
        <w:ind w:left="800" w:right="4964"/>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地</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址：</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rPr>
        <w:tab/>
      </w:r>
    </w:p>
    <w:p>
      <w:pPr>
        <w:pStyle w:val="2"/>
        <w:tabs>
          <w:tab w:val="left" w:pos="1519"/>
          <w:tab w:val="left" w:pos="3079"/>
          <w:tab w:val="left" w:pos="4399"/>
          <w:tab w:val="left" w:pos="5719"/>
          <w:tab w:val="left" w:pos="7939"/>
        </w:tabs>
        <w:spacing w:before="1"/>
        <w:ind w:left="8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姓</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名：</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rPr>
        <w:t>性别：</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rPr>
        <w:t>年龄：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rPr>
        <w:t>职务：</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rPr>
        <w:tab/>
      </w:r>
    </w:p>
    <w:p>
      <w:pPr>
        <w:pStyle w:val="2"/>
        <w:tabs>
          <w:tab w:val="left" w:pos="3295"/>
          <w:tab w:val="left" w:pos="4759"/>
          <w:tab w:val="left" w:pos="6871"/>
        </w:tabs>
        <w:spacing w:before="132" w:line="343" w:lineRule="auto"/>
        <w:ind w:left="320" w:right="317" w:firstLine="48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本人系</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rPr>
        <w:t>(供应商名称)的法定代表人/单位负责人。就参加</w:t>
      </w:r>
      <w:r>
        <w:rPr>
          <w:rFonts w:hint="eastAsia" w:ascii="宋体" w:hAnsi="宋体" w:eastAsia="宋体" w:cs="宋体"/>
          <w:color w:val="auto"/>
          <w:spacing w:val="-16"/>
          <w:sz w:val="24"/>
          <w:szCs w:val="24"/>
          <w:highlight w:val="none"/>
        </w:rPr>
        <w:t>你</w:t>
      </w:r>
      <w:r>
        <w:rPr>
          <w:rFonts w:hint="eastAsia" w:ascii="宋体" w:hAnsi="宋体" w:eastAsia="宋体" w:cs="宋体"/>
          <w:color w:val="auto"/>
          <w:sz w:val="24"/>
          <w:szCs w:val="24"/>
          <w:highlight w:val="none"/>
        </w:rPr>
        <w:t>单位组织</w:t>
      </w:r>
      <w:r>
        <w:rPr>
          <w:rFonts w:hint="eastAsia" w:ascii="宋体" w:hAnsi="宋体" w:eastAsia="宋体" w:cs="宋体"/>
          <w:color w:val="auto"/>
          <w:spacing w:val="-24"/>
          <w:sz w:val="24"/>
          <w:szCs w:val="24"/>
          <w:highlight w:val="none"/>
        </w:rPr>
        <w:t>的</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rPr>
        <w:t>(项目名称)(项目编号</w:t>
      </w:r>
      <w:r>
        <w:rPr>
          <w:rFonts w:hint="eastAsia" w:ascii="宋体" w:hAnsi="宋体" w:eastAsia="宋体" w:cs="宋体"/>
          <w:color w:val="auto"/>
          <w:spacing w:val="-24"/>
          <w:sz w:val="24"/>
          <w:szCs w:val="24"/>
          <w:highlight w:val="none"/>
        </w:rPr>
        <w:t>：</w:t>
      </w:r>
      <w:r>
        <w:rPr>
          <w:rFonts w:hint="eastAsia" w:ascii="宋体" w:hAnsi="宋体" w:eastAsia="宋体" w:cs="宋体"/>
          <w:color w:val="auto"/>
          <w:spacing w:val="-24"/>
          <w:sz w:val="24"/>
          <w:szCs w:val="24"/>
          <w:highlight w:val="none"/>
          <w:u w:val="single"/>
        </w:rPr>
        <w:t xml:space="preserve">         </w:t>
      </w:r>
      <w:r>
        <w:rPr>
          <w:rFonts w:hint="eastAsia" w:ascii="宋体" w:hAnsi="宋体" w:eastAsia="宋体" w:cs="宋体"/>
          <w:color w:val="auto"/>
          <w:spacing w:val="-24"/>
          <w:sz w:val="24"/>
          <w:szCs w:val="24"/>
          <w:highlight w:val="none"/>
          <w:u w:val="single"/>
        </w:rPr>
        <w:tab/>
      </w:r>
      <w:r>
        <w:rPr>
          <w:rFonts w:hint="eastAsia" w:ascii="宋体" w:hAnsi="宋体" w:eastAsia="宋体" w:cs="宋体"/>
          <w:color w:val="auto"/>
          <w:spacing w:val="-12"/>
          <w:sz w:val="24"/>
          <w:szCs w:val="24"/>
          <w:highlight w:val="none"/>
        </w:rPr>
        <w:t>)”</w:t>
      </w:r>
      <w:r>
        <w:rPr>
          <w:rFonts w:hint="eastAsia" w:ascii="宋体" w:hAnsi="宋体" w:eastAsia="宋体" w:cs="宋体"/>
          <w:color w:val="auto"/>
          <w:sz w:val="24"/>
          <w:szCs w:val="24"/>
          <w:highlight w:val="none"/>
        </w:rPr>
        <w:t>的政府采购活动</w:t>
      </w:r>
      <w:r>
        <w:rPr>
          <w:rFonts w:hint="eastAsia" w:ascii="宋体" w:hAnsi="宋体" w:eastAsia="宋体" w:cs="宋体"/>
          <w:color w:val="auto"/>
          <w:spacing w:val="-22"/>
          <w:sz w:val="24"/>
          <w:szCs w:val="24"/>
          <w:highlight w:val="none"/>
        </w:rPr>
        <w:t>、</w:t>
      </w:r>
      <w:r>
        <w:rPr>
          <w:rFonts w:hint="eastAsia" w:ascii="宋体" w:hAnsi="宋体" w:eastAsia="宋体" w:cs="宋体"/>
          <w:color w:val="auto"/>
          <w:sz w:val="24"/>
          <w:szCs w:val="24"/>
          <w:highlight w:val="none"/>
        </w:rPr>
        <w:t>合同签</w:t>
      </w:r>
      <w:r>
        <w:rPr>
          <w:rFonts w:hint="eastAsia" w:ascii="宋体" w:hAnsi="宋体" w:eastAsia="宋体" w:cs="宋体"/>
          <w:color w:val="auto"/>
          <w:spacing w:val="-16"/>
          <w:sz w:val="24"/>
          <w:szCs w:val="24"/>
          <w:highlight w:val="none"/>
        </w:rPr>
        <w:t>订</w:t>
      </w:r>
      <w:r>
        <w:rPr>
          <w:rFonts w:hint="eastAsia" w:ascii="宋体" w:hAnsi="宋体" w:eastAsia="宋体" w:cs="宋体"/>
          <w:color w:val="auto"/>
          <w:sz w:val="24"/>
          <w:szCs w:val="24"/>
          <w:highlight w:val="none"/>
        </w:rPr>
        <w:t>以及合同履约等一切事宜，我单位均予承认，所产生的法律后果均由我单位承担。</w:t>
      </w:r>
    </w:p>
    <w:p>
      <w:pPr>
        <w:pStyle w:val="2"/>
        <w:spacing w:before="1"/>
        <w:ind w:left="8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特此证明。</w:t>
      </w:r>
    </w:p>
    <w:p>
      <w:pPr>
        <w:spacing w:line="400" w:lineRule="exact"/>
        <w:rPr>
          <w:rFonts w:ascii="宋体" w:hAnsi="宋体"/>
          <w:color w:val="auto"/>
          <w:sz w:val="24"/>
          <w:highlight w:val="none"/>
        </w:rPr>
      </w:pPr>
    </w:p>
    <w:p>
      <w:pPr>
        <w:spacing w:line="400" w:lineRule="exact"/>
        <w:ind w:firstLine="480" w:firstLineChars="200"/>
        <w:rPr>
          <w:rFonts w:ascii="宋体" w:hAnsi="宋体"/>
          <w:color w:val="auto"/>
          <w:sz w:val="24"/>
          <w:highlight w:val="none"/>
        </w:rPr>
      </w:pP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附：（1）法定代表人有效身份证明材料正反面复印件</w:t>
      </w:r>
    </w:p>
    <w:p>
      <w:pPr>
        <w:spacing w:line="400" w:lineRule="exact"/>
        <w:ind w:firstLine="480" w:firstLineChars="200"/>
        <w:rPr>
          <w:rFonts w:ascii="宋体" w:hAnsi="宋体"/>
          <w:color w:val="auto"/>
          <w:sz w:val="24"/>
          <w:highlight w:val="none"/>
        </w:rPr>
      </w:pPr>
    </w:p>
    <w:p>
      <w:pPr>
        <w:pStyle w:val="2"/>
        <w:rPr>
          <w:rFonts w:ascii="宋体" w:hAnsi="宋体"/>
          <w:color w:val="auto"/>
          <w:sz w:val="24"/>
          <w:highlight w:val="none"/>
        </w:rPr>
      </w:pPr>
    </w:p>
    <w:p>
      <w:pPr>
        <w:pStyle w:val="2"/>
        <w:rPr>
          <w:rFonts w:ascii="宋体" w:hAnsi="宋体"/>
          <w:color w:val="auto"/>
          <w:sz w:val="24"/>
          <w:highlight w:val="none"/>
        </w:rPr>
      </w:pPr>
    </w:p>
    <w:p>
      <w:pPr>
        <w:pStyle w:val="2"/>
        <w:rPr>
          <w:rFonts w:ascii="宋体" w:hAnsi="宋体"/>
          <w:color w:val="auto"/>
          <w:sz w:val="24"/>
          <w:highlight w:val="none"/>
        </w:rPr>
      </w:pPr>
    </w:p>
    <w:p>
      <w:pPr>
        <w:spacing w:line="360" w:lineRule="auto"/>
        <w:ind w:firstLine="480" w:firstLineChars="200"/>
        <w:rPr>
          <w:rFonts w:ascii="宋体" w:hAnsi="宋体"/>
          <w:color w:val="auto"/>
          <w:sz w:val="24"/>
          <w:highlight w:val="none"/>
          <w:u w:val="single"/>
        </w:rPr>
      </w:pPr>
      <w:r>
        <w:rPr>
          <w:rFonts w:hint="eastAsia" w:ascii="宋体" w:hAnsi="宋体"/>
          <w:color w:val="auto"/>
          <w:sz w:val="24"/>
          <w:highlight w:val="none"/>
        </w:rPr>
        <w:t>法定代表人</w:t>
      </w:r>
      <w:r>
        <w:rPr>
          <w:rFonts w:hint="eastAsia" w:asciiTheme="minorEastAsia" w:hAnsiTheme="minorEastAsia" w:eastAsiaTheme="minorEastAsia"/>
          <w:color w:val="auto"/>
          <w:sz w:val="24"/>
          <w:highlight w:val="none"/>
        </w:rPr>
        <w:t>（签字或加盖个人名章）</w:t>
      </w:r>
      <w:r>
        <w:rPr>
          <w:rFonts w:hint="eastAsia" w:ascii="宋体" w:hAnsi="宋体"/>
          <w:color w:val="auto"/>
          <w:sz w:val="24"/>
          <w:highlight w:val="none"/>
        </w:rPr>
        <w:t>：</w:t>
      </w:r>
      <w:r>
        <w:rPr>
          <w:rFonts w:hint="eastAsia" w:ascii="宋体" w:hAnsi="宋体"/>
          <w:color w:val="auto"/>
          <w:sz w:val="24"/>
          <w:highlight w:val="none"/>
          <w:u w:val="single"/>
        </w:rPr>
        <w:t xml:space="preserve">            </w:t>
      </w:r>
    </w:p>
    <w:p>
      <w:pPr>
        <w:spacing w:line="360" w:lineRule="auto"/>
        <w:ind w:firstLine="480" w:firstLineChars="200"/>
        <w:rPr>
          <w:rFonts w:ascii="宋体" w:hAnsi="宋体"/>
          <w:color w:val="auto"/>
          <w:sz w:val="24"/>
          <w:highlight w:val="none"/>
        </w:rPr>
      </w:pPr>
      <w:r>
        <w:rPr>
          <w:rFonts w:hint="eastAsia" w:hAnsi="宋体"/>
          <w:color w:val="auto"/>
          <w:sz w:val="24"/>
          <w:highlight w:val="none"/>
        </w:rPr>
        <w:t>供应商</w:t>
      </w:r>
      <w:r>
        <w:rPr>
          <w:rFonts w:hint="eastAsia" w:ascii="宋体" w:hAnsi="宋体"/>
          <w:color w:val="auto"/>
          <w:sz w:val="24"/>
          <w:highlight w:val="none"/>
        </w:rPr>
        <w:t>名称：</w:t>
      </w:r>
      <w:r>
        <w:rPr>
          <w:rFonts w:hint="eastAsia" w:ascii="宋体" w:hAnsi="宋体"/>
          <w:color w:val="auto"/>
          <w:sz w:val="24"/>
          <w:highlight w:val="none"/>
          <w:u w:val="single"/>
        </w:rPr>
        <w:t xml:space="preserve">                      </w:t>
      </w:r>
      <w:r>
        <w:rPr>
          <w:rFonts w:hint="eastAsia" w:ascii="宋体" w:hAnsi="宋体"/>
          <w:color w:val="auto"/>
          <w:sz w:val="24"/>
          <w:highlight w:val="none"/>
        </w:rPr>
        <w:t>（盖章）</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日    期：</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ascii="宋体" w:hAnsi="宋体"/>
          <w:color w:val="auto"/>
          <w:sz w:val="24"/>
          <w:highlight w:val="none"/>
        </w:rPr>
        <w:t>年</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ascii="宋体" w:hAnsi="宋体"/>
          <w:color w:val="auto"/>
          <w:sz w:val="24"/>
          <w:highlight w:val="none"/>
        </w:rPr>
        <w:t>月</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ascii="宋体" w:hAnsi="宋体"/>
          <w:color w:val="auto"/>
          <w:sz w:val="24"/>
          <w:highlight w:val="none"/>
        </w:rPr>
        <w:t>日</w:t>
      </w:r>
    </w:p>
    <w:p>
      <w:pPr>
        <w:rPr>
          <w:color w:val="auto"/>
          <w:highlight w:val="none"/>
        </w:rPr>
      </w:pPr>
    </w:p>
    <w:p>
      <w:pPr>
        <w:spacing w:line="360" w:lineRule="auto"/>
        <w:rPr>
          <w:b/>
          <w:color w:val="auto"/>
          <w:sz w:val="24"/>
          <w:highlight w:val="none"/>
        </w:rPr>
      </w:pPr>
      <w:r>
        <w:rPr>
          <w:rFonts w:hint="eastAsia" w:ascii="宋体" w:hAnsi="宋体" w:cs="宋体"/>
          <w:color w:val="auto"/>
          <w:sz w:val="24"/>
          <w:highlight w:val="none"/>
        </w:rPr>
        <w:t>注：</w:t>
      </w:r>
      <w:r>
        <w:rPr>
          <w:rFonts w:hint="eastAsia" w:ascii="宋体" w:hAnsi="宋体" w:cs="宋体"/>
          <w:b/>
          <w:bCs/>
          <w:color w:val="auto"/>
          <w:sz w:val="24"/>
          <w:highlight w:val="none"/>
        </w:rPr>
        <w:t>1、</w:t>
      </w:r>
      <w:r>
        <w:rPr>
          <w:b/>
          <w:color w:val="auto"/>
          <w:sz w:val="24"/>
          <w:highlight w:val="none"/>
        </w:rPr>
        <w:t>法定代表人亲自参加磋商时适用本证明书。</w:t>
      </w:r>
    </w:p>
    <w:p>
      <w:pPr>
        <w:spacing w:line="360" w:lineRule="auto"/>
        <w:ind w:firstLine="482" w:firstLineChars="200"/>
        <w:rPr>
          <w:color w:val="auto"/>
          <w:highlight w:val="none"/>
        </w:rPr>
      </w:pPr>
      <w:r>
        <w:rPr>
          <w:rFonts w:hint="eastAsia" w:ascii="宋体" w:hAnsi="宋体" w:cs="宋体"/>
          <w:b/>
          <w:bCs/>
          <w:color w:val="auto"/>
          <w:sz w:val="24"/>
          <w:highlight w:val="none"/>
        </w:rPr>
        <w:t>2、身份证明材料包括居民身份证或户口本或军官证或护照等。</w:t>
      </w:r>
      <w:r>
        <w:rPr>
          <w:rFonts w:hint="eastAsia"/>
          <w:color w:val="auto"/>
          <w:highlight w:val="none"/>
        </w:rPr>
        <w:br w:type="page"/>
      </w:r>
    </w:p>
    <w:p>
      <w:pPr>
        <w:pStyle w:val="5"/>
        <w:spacing w:before="0" w:after="0" w:line="360" w:lineRule="auto"/>
        <w:jc w:val="center"/>
        <w:rPr>
          <w:rFonts w:hint="eastAsia"/>
          <w:color w:val="auto"/>
          <w:highlight w:val="none"/>
        </w:rPr>
      </w:pPr>
      <w:r>
        <w:rPr>
          <w:rFonts w:hint="eastAsia"/>
          <w:color w:val="auto"/>
          <w:highlight w:val="none"/>
        </w:rPr>
        <w:t>二、承诺函</w:t>
      </w:r>
    </w:p>
    <w:p>
      <w:pPr>
        <w:rPr>
          <w:highlight w:val="none"/>
        </w:rPr>
      </w:pPr>
    </w:p>
    <w:p>
      <w:pPr>
        <w:spacing w:line="360" w:lineRule="auto"/>
        <w:rPr>
          <w:rFonts w:ascii="宋体" w:hAnsi="宋体"/>
          <w:color w:val="auto"/>
          <w:sz w:val="24"/>
          <w:highlight w:val="none"/>
        </w:rPr>
      </w:pPr>
      <w:r>
        <w:rPr>
          <w:rFonts w:hint="eastAsia" w:ascii="宋体" w:hAnsi="宋体"/>
          <w:color w:val="auto"/>
          <w:sz w:val="24"/>
          <w:highlight w:val="none"/>
        </w:rPr>
        <w:t>四川易通天和招标代理有限公司：</w:t>
      </w:r>
    </w:p>
    <w:p>
      <w:pPr>
        <w:widowControl/>
        <w:spacing w:line="360" w:lineRule="auto"/>
        <w:ind w:firstLine="480" w:firstLineChars="200"/>
        <w:jc w:val="left"/>
        <w:rPr>
          <w:rFonts w:ascii="宋体"/>
          <w:color w:val="auto"/>
          <w:sz w:val="24"/>
          <w:highlight w:val="none"/>
        </w:rPr>
      </w:pPr>
      <w:r>
        <w:rPr>
          <w:rFonts w:hint="eastAsia" w:ascii="宋体"/>
          <w:color w:val="auto"/>
          <w:sz w:val="24"/>
          <w:highlight w:val="none"/>
        </w:rPr>
        <w:t>我公司作为本次采购项目的供应商，根据磋商文件要求，现郑重承诺如下：</w:t>
      </w:r>
    </w:p>
    <w:p>
      <w:pPr>
        <w:widowControl/>
        <w:spacing w:line="276" w:lineRule="auto"/>
        <w:ind w:firstLine="480" w:firstLineChars="200"/>
        <w:jc w:val="left"/>
        <w:rPr>
          <w:rFonts w:ascii="宋体"/>
          <w:color w:val="auto"/>
          <w:sz w:val="24"/>
          <w:highlight w:val="none"/>
        </w:rPr>
      </w:pPr>
      <w:r>
        <w:rPr>
          <w:rFonts w:hint="eastAsia" w:ascii="宋体"/>
          <w:color w:val="auto"/>
          <w:sz w:val="24"/>
          <w:highlight w:val="none"/>
        </w:rPr>
        <w:t>一、具备《中华人民共和国政府采购法》第二十二条第一款和本项目规定的条件：</w:t>
      </w:r>
    </w:p>
    <w:p>
      <w:pPr>
        <w:widowControl/>
        <w:spacing w:line="276" w:lineRule="auto"/>
        <w:ind w:firstLine="480" w:firstLineChars="200"/>
        <w:jc w:val="left"/>
        <w:rPr>
          <w:rFonts w:ascii="宋体"/>
          <w:color w:val="auto"/>
          <w:sz w:val="24"/>
          <w:highlight w:val="none"/>
        </w:rPr>
      </w:pPr>
      <w:r>
        <w:rPr>
          <w:rFonts w:hint="eastAsia" w:ascii="宋体"/>
          <w:color w:val="auto"/>
          <w:sz w:val="24"/>
          <w:highlight w:val="none"/>
        </w:rPr>
        <w:t>（一）具有独立承担民事责任的能力；</w:t>
      </w:r>
    </w:p>
    <w:p>
      <w:pPr>
        <w:widowControl/>
        <w:spacing w:line="276" w:lineRule="auto"/>
        <w:ind w:firstLine="480" w:firstLineChars="200"/>
        <w:jc w:val="left"/>
        <w:rPr>
          <w:rFonts w:ascii="宋体"/>
          <w:color w:val="auto"/>
          <w:sz w:val="24"/>
          <w:highlight w:val="none"/>
        </w:rPr>
      </w:pPr>
      <w:r>
        <w:rPr>
          <w:rFonts w:hint="eastAsia" w:ascii="宋体"/>
          <w:color w:val="auto"/>
          <w:sz w:val="24"/>
          <w:highlight w:val="none"/>
        </w:rPr>
        <w:t>（二）具有良好的商业信誉和健全的财务会计制度；</w:t>
      </w:r>
    </w:p>
    <w:p>
      <w:pPr>
        <w:widowControl/>
        <w:spacing w:line="276" w:lineRule="auto"/>
        <w:ind w:firstLine="480" w:firstLineChars="200"/>
        <w:jc w:val="left"/>
        <w:rPr>
          <w:rFonts w:ascii="宋体"/>
          <w:color w:val="auto"/>
          <w:sz w:val="24"/>
          <w:highlight w:val="none"/>
        </w:rPr>
      </w:pPr>
      <w:r>
        <w:rPr>
          <w:rFonts w:hint="eastAsia" w:ascii="宋体"/>
          <w:color w:val="auto"/>
          <w:sz w:val="24"/>
          <w:highlight w:val="none"/>
        </w:rPr>
        <w:t>（三）具有履行合同所必需的设备和专业技术能力；</w:t>
      </w:r>
    </w:p>
    <w:p>
      <w:pPr>
        <w:widowControl/>
        <w:spacing w:line="276" w:lineRule="auto"/>
        <w:ind w:firstLine="480" w:firstLineChars="200"/>
        <w:jc w:val="left"/>
        <w:rPr>
          <w:rFonts w:ascii="宋体"/>
          <w:color w:val="auto"/>
          <w:sz w:val="24"/>
          <w:highlight w:val="none"/>
        </w:rPr>
      </w:pPr>
      <w:r>
        <w:rPr>
          <w:rFonts w:hint="eastAsia" w:ascii="宋体"/>
          <w:color w:val="auto"/>
          <w:sz w:val="24"/>
          <w:highlight w:val="none"/>
        </w:rPr>
        <w:t>（四）有依法缴纳税收和社会保障资金的良好记录；</w:t>
      </w:r>
    </w:p>
    <w:p>
      <w:pPr>
        <w:widowControl/>
        <w:spacing w:line="276" w:lineRule="auto"/>
        <w:ind w:firstLine="480" w:firstLineChars="200"/>
        <w:jc w:val="left"/>
        <w:rPr>
          <w:rFonts w:ascii="宋体"/>
          <w:color w:val="auto"/>
          <w:sz w:val="24"/>
          <w:highlight w:val="none"/>
        </w:rPr>
      </w:pPr>
      <w:r>
        <w:rPr>
          <w:rFonts w:hint="eastAsia" w:ascii="宋体"/>
          <w:color w:val="auto"/>
          <w:sz w:val="24"/>
          <w:highlight w:val="none"/>
        </w:rPr>
        <w:t>（五）参加政府采购活动前三年内，在经营活动中没有重大违法记录；</w:t>
      </w:r>
    </w:p>
    <w:p>
      <w:pPr>
        <w:widowControl/>
        <w:spacing w:line="276" w:lineRule="auto"/>
        <w:ind w:firstLine="480" w:firstLineChars="200"/>
        <w:jc w:val="left"/>
        <w:rPr>
          <w:rFonts w:ascii="宋体"/>
          <w:color w:val="auto"/>
          <w:sz w:val="24"/>
          <w:highlight w:val="none"/>
        </w:rPr>
      </w:pPr>
      <w:r>
        <w:rPr>
          <w:rFonts w:hint="eastAsia" w:ascii="宋体"/>
          <w:color w:val="auto"/>
          <w:sz w:val="24"/>
          <w:highlight w:val="none"/>
        </w:rPr>
        <w:t>（六）法律、行政法规规定的其他条件；</w:t>
      </w:r>
    </w:p>
    <w:p>
      <w:pPr>
        <w:widowControl/>
        <w:spacing w:line="276" w:lineRule="auto"/>
        <w:ind w:firstLine="480" w:firstLineChars="200"/>
        <w:jc w:val="left"/>
        <w:rPr>
          <w:rFonts w:ascii="宋体"/>
          <w:color w:val="auto"/>
          <w:sz w:val="24"/>
          <w:highlight w:val="none"/>
        </w:rPr>
      </w:pPr>
      <w:r>
        <w:rPr>
          <w:rFonts w:hint="eastAsia" w:ascii="宋体"/>
          <w:color w:val="auto"/>
          <w:sz w:val="24"/>
          <w:highlight w:val="none"/>
        </w:rPr>
        <w:t>（七）根据采购项目提出的特殊条件</w:t>
      </w:r>
      <w:r>
        <w:rPr>
          <w:rFonts w:ascii="宋体"/>
          <w:color w:val="auto"/>
          <w:sz w:val="24"/>
          <w:highlight w:val="none"/>
        </w:rPr>
        <w:t>。</w:t>
      </w:r>
    </w:p>
    <w:p>
      <w:pPr>
        <w:widowControl/>
        <w:spacing w:line="276" w:lineRule="auto"/>
        <w:ind w:firstLine="480" w:firstLineChars="200"/>
        <w:jc w:val="left"/>
        <w:rPr>
          <w:rFonts w:ascii="宋体"/>
          <w:color w:val="auto"/>
          <w:sz w:val="24"/>
          <w:highlight w:val="none"/>
        </w:rPr>
      </w:pPr>
      <w:r>
        <w:rPr>
          <w:rFonts w:ascii="宋体"/>
          <w:color w:val="auto"/>
          <w:sz w:val="24"/>
          <w:highlight w:val="none"/>
        </w:rPr>
        <w:t>二、完全接受和满足本项目</w:t>
      </w:r>
      <w:r>
        <w:rPr>
          <w:rFonts w:hint="eastAsia" w:ascii="宋体"/>
          <w:color w:val="auto"/>
          <w:sz w:val="24"/>
          <w:highlight w:val="none"/>
        </w:rPr>
        <w:t>磋商文件</w:t>
      </w:r>
      <w:r>
        <w:rPr>
          <w:rFonts w:ascii="宋体"/>
          <w:color w:val="auto"/>
          <w:sz w:val="24"/>
          <w:highlight w:val="none"/>
        </w:rPr>
        <w:t>中规定的实质性要求，如对</w:t>
      </w:r>
      <w:r>
        <w:rPr>
          <w:rFonts w:hint="eastAsia" w:ascii="宋体"/>
          <w:color w:val="auto"/>
          <w:sz w:val="24"/>
          <w:highlight w:val="none"/>
        </w:rPr>
        <w:t>磋商文件</w:t>
      </w:r>
      <w:r>
        <w:rPr>
          <w:rFonts w:ascii="宋体"/>
          <w:color w:val="auto"/>
          <w:sz w:val="24"/>
          <w:highlight w:val="none"/>
        </w:rPr>
        <w:t>有异议，</w:t>
      </w:r>
      <w:r>
        <w:rPr>
          <w:rFonts w:hint="eastAsia" w:ascii="宋体"/>
          <w:color w:val="auto"/>
          <w:sz w:val="24"/>
          <w:highlight w:val="none"/>
        </w:rPr>
        <w:t>已经在磋商文件递交截止时间届满前依法进行维权救济，不存在对磋商文件有异议的同时又参加磋商</w:t>
      </w:r>
      <w:r>
        <w:rPr>
          <w:rFonts w:ascii="宋体"/>
          <w:color w:val="auto"/>
          <w:sz w:val="24"/>
          <w:highlight w:val="none"/>
        </w:rPr>
        <w:t>以求侥幸</w:t>
      </w:r>
      <w:r>
        <w:rPr>
          <w:rFonts w:hint="eastAsia" w:ascii="宋体"/>
          <w:color w:val="auto"/>
          <w:sz w:val="24"/>
          <w:highlight w:val="none"/>
        </w:rPr>
        <w:t>成交</w:t>
      </w:r>
      <w:r>
        <w:rPr>
          <w:rFonts w:ascii="宋体"/>
          <w:color w:val="auto"/>
          <w:sz w:val="24"/>
          <w:highlight w:val="none"/>
        </w:rPr>
        <w:t>或者为实现其他非法目的的行为。</w:t>
      </w:r>
    </w:p>
    <w:p>
      <w:pPr>
        <w:widowControl/>
        <w:spacing w:line="276" w:lineRule="auto"/>
        <w:ind w:firstLine="480" w:firstLineChars="200"/>
        <w:jc w:val="left"/>
        <w:rPr>
          <w:rFonts w:ascii="宋体"/>
          <w:color w:val="auto"/>
          <w:sz w:val="24"/>
          <w:highlight w:val="none"/>
        </w:rPr>
      </w:pPr>
      <w:r>
        <w:rPr>
          <w:rFonts w:hint="eastAsia" w:ascii="宋体"/>
          <w:color w:val="auto"/>
          <w:sz w:val="24"/>
          <w:highlight w:val="none"/>
        </w:rPr>
        <w:t>三、参加本次磋商采购活动，不存在与单位负责人为同一人或者存在直接控股、管理关系的其他供应商参与同一合同项下的政府采购活动的行为。</w:t>
      </w:r>
    </w:p>
    <w:p>
      <w:pPr>
        <w:widowControl/>
        <w:spacing w:line="276" w:lineRule="auto"/>
        <w:ind w:firstLine="480" w:firstLineChars="200"/>
        <w:jc w:val="left"/>
        <w:rPr>
          <w:rFonts w:ascii="宋体"/>
          <w:color w:val="auto"/>
          <w:sz w:val="24"/>
          <w:highlight w:val="none"/>
        </w:rPr>
      </w:pPr>
      <w:r>
        <w:rPr>
          <w:rFonts w:hint="eastAsia" w:ascii="宋体"/>
          <w:color w:val="auto"/>
          <w:sz w:val="24"/>
          <w:highlight w:val="none"/>
        </w:rPr>
        <w:t>四、参加本次磋商采购活动，不存在和其他供应商在同一合同项下的采购项目中，同时委托同一个自然人、同一家庭的人员、同一单位的人员作为代理人的行为。本供应商未对本次采购项目提供过整体设计、规范编制或者项目管理、监理、检测等服务。未为采购人、采购代理机构在确定采购需求、编制采购文件过程中提供咨询论证。</w:t>
      </w:r>
    </w:p>
    <w:p>
      <w:pPr>
        <w:widowControl/>
        <w:spacing w:line="276" w:lineRule="auto"/>
        <w:ind w:firstLine="480" w:firstLineChars="200"/>
        <w:jc w:val="left"/>
        <w:rPr>
          <w:rFonts w:ascii="宋体"/>
          <w:color w:val="auto"/>
          <w:sz w:val="24"/>
          <w:highlight w:val="none"/>
        </w:rPr>
      </w:pPr>
      <w:r>
        <w:rPr>
          <w:rFonts w:hint="eastAsia" w:ascii="宋体"/>
          <w:color w:val="auto"/>
          <w:sz w:val="24"/>
          <w:highlight w:val="none"/>
        </w:rPr>
        <w:t>五、如果有《四川省政府采购当事人诚信管理办法》（川财采[2015]33号）规定的记入诚信档案的失信行为，将在响应文件中全面如实反映。</w:t>
      </w:r>
    </w:p>
    <w:p>
      <w:pPr>
        <w:widowControl/>
        <w:spacing w:line="276" w:lineRule="auto"/>
        <w:ind w:firstLine="480" w:firstLineChars="200"/>
        <w:jc w:val="left"/>
        <w:rPr>
          <w:rFonts w:ascii="宋体"/>
          <w:color w:val="auto"/>
          <w:sz w:val="24"/>
          <w:highlight w:val="none"/>
        </w:rPr>
      </w:pPr>
      <w:r>
        <w:rPr>
          <w:rFonts w:hint="eastAsia" w:ascii="宋体"/>
          <w:color w:val="auto"/>
          <w:sz w:val="24"/>
          <w:highlight w:val="none"/>
        </w:rPr>
        <w:t>六、截至响应文件递交截止日未被列入失信被执行人、重大税收违法案件当事人名单、政府采购严重违法失信行为记录名单。</w:t>
      </w:r>
    </w:p>
    <w:p>
      <w:pPr>
        <w:widowControl/>
        <w:spacing w:line="276" w:lineRule="auto"/>
        <w:ind w:firstLine="480" w:firstLineChars="200"/>
        <w:jc w:val="left"/>
        <w:rPr>
          <w:rFonts w:ascii="宋体"/>
          <w:color w:val="auto"/>
          <w:sz w:val="24"/>
          <w:highlight w:val="none"/>
        </w:rPr>
      </w:pPr>
      <w:r>
        <w:rPr>
          <w:rFonts w:hint="eastAsia" w:ascii="宋体"/>
          <w:color w:val="auto"/>
          <w:sz w:val="24"/>
          <w:highlight w:val="none"/>
        </w:rPr>
        <w:t>七、如本项目评标过程中需要提供样品，则我公司提供的样品即为成交后将要提供的成交产品，我公司对提供样品的性能和质量负责，因样品存在缺陷或者不符合采购文件要求导致未能成交的，我公司愿意承担相应不利后果。</w:t>
      </w:r>
    </w:p>
    <w:p>
      <w:pPr>
        <w:widowControl/>
        <w:spacing w:line="276" w:lineRule="auto"/>
        <w:ind w:firstLine="480" w:firstLineChars="200"/>
        <w:jc w:val="left"/>
        <w:rPr>
          <w:rFonts w:ascii="宋体"/>
          <w:color w:val="auto"/>
          <w:sz w:val="24"/>
          <w:highlight w:val="none"/>
        </w:rPr>
      </w:pPr>
      <w:r>
        <w:rPr>
          <w:rFonts w:hint="eastAsia" w:ascii="宋体"/>
          <w:color w:val="auto"/>
          <w:sz w:val="24"/>
          <w:highlight w:val="none"/>
        </w:rPr>
        <w:t>八、我公司及其现任法定代表人（非法人机构则为主要负责人）不具有行贿犯罪记录。</w:t>
      </w:r>
    </w:p>
    <w:p>
      <w:pPr>
        <w:widowControl/>
        <w:spacing w:line="276" w:lineRule="auto"/>
        <w:ind w:firstLine="480" w:firstLineChars="200"/>
        <w:jc w:val="left"/>
        <w:rPr>
          <w:rFonts w:ascii="宋体"/>
          <w:color w:val="auto"/>
          <w:sz w:val="24"/>
          <w:highlight w:val="none"/>
        </w:rPr>
      </w:pPr>
      <w:r>
        <w:rPr>
          <w:rFonts w:hint="eastAsia" w:ascii="宋体"/>
          <w:color w:val="auto"/>
          <w:sz w:val="24"/>
          <w:highlight w:val="none"/>
        </w:rPr>
        <w:t>本公司对上述承诺的内容事项真实性负责。如经查实上述承诺的内容事项存在虚假，我公司愿意接受以提供虚假材料谋取成交追究法律责任。</w:t>
      </w:r>
    </w:p>
    <w:p>
      <w:pPr>
        <w:adjustRightInd w:val="0"/>
        <w:spacing w:line="360" w:lineRule="auto"/>
        <w:ind w:firstLine="480" w:firstLineChars="200"/>
        <w:jc w:val="left"/>
        <w:rPr>
          <w:rFonts w:ascii="宋体" w:hAnsi="宋体"/>
          <w:color w:val="auto"/>
          <w:sz w:val="24"/>
          <w:highlight w:val="none"/>
        </w:rPr>
      </w:pPr>
    </w:p>
    <w:p>
      <w:pPr>
        <w:adjustRightIn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供应商名称（盖章）：</w:t>
      </w:r>
      <w:r>
        <w:rPr>
          <w:rFonts w:hint="eastAsia" w:ascii="宋体" w:hAnsi="宋体"/>
          <w:color w:val="auto"/>
          <w:sz w:val="24"/>
          <w:highlight w:val="none"/>
          <w:u w:val="single"/>
        </w:rPr>
        <w:t xml:space="preserve">                      </w:t>
      </w:r>
    </w:p>
    <w:p>
      <w:pPr>
        <w:adjustRightIn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法定代表人或授权代表（签字或加盖个人名章）：</w:t>
      </w:r>
      <w:r>
        <w:rPr>
          <w:rFonts w:hint="eastAsia" w:ascii="宋体" w:hAnsi="宋体"/>
          <w:color w:val="auto"/>
          <w:sz w:val="24"/>
          <w:highlight w:val="none"/>
          <w:u w:val="single"/>
        </w:rPr>
        <w:t xml:space="preserve">           </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日    期：</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ascii="宋体" w:hAnsi="宋体"/>
          <w:color w:val="auto"/>
          <w:sz w:val="24"/>
          <w:highlight w:val="none"/>
        </w:rPr>
        <w:t>年</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ascii="宋体" w:hAnsi="宋体"/>
          <w:color w:val="auto"/>
          <w:sz w:val="24"/>
          <w:highlight w:val="none"/>
        </w:rPr>
        <w:t>月</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ascii="宋体" w:hAnsi="宋体"/>
          <w:color w:val="auto"/>
          <w:sz w:val="24"/>
          <w:highlight w:val="none"/>
        </w:rPr>
        <w:t>日</w:t>
      </w:r>
    </w:p>
    <w:p>
      <w:pPr>
        <w:rPr>
          <w:rFonts w:ascii="宋体" w:hAnsi="宋体"/>
          <w:color w:val="auto"/>
          <w:sz w:val="24"/>
          <w:highlight w:val="none"/>
        </w:rPr>
      </w:pPr>
      <w:r>
        <w:rPr>
          <w:color w:val="auto"/>
          <w:sz w:val="30"/>
          <w:szCs w:val="30"/>
          <w:highlight w:val="none"/>
        </w:rPr>
        <w:br w:type="page"/>
      </w:r>
      <w:bookmarkStart w:id="129" w:name="_Toc4159_WPSOffice_Level2"/>
      <w:bookmarkStart w:id="130" w:name="_Toc31492_WPSOffice_Level2"/>
    </w:p>
    <w:p>
      <w:pPr>
        <w:pStyle w:val="5"/>
        <w:spacing w:before="0" w:after="0" w:line="360" w:lineRule="auto"/>
        <w:jc w:val="center"/>
        <w:rPr>
          <w:color w:val="auto"/>
          <w:highlight w:val="none"/>
        </w:rPr>
      </w:pPr>
      <w:r>
        <w:rPr>
          <w:rFonts w:hint="eastAsia"/>
          <w:color w:val="auto"/>
          <w:highlight w:val="none"/>
        </w:rPr>
        <w:t>三、其他资格证明资料及相关说明等</w:t>
      </w:r>
      <w:bookmarkEnd w:id="129"/>
      <w:bookmarkEnd w:id="130"/>
    </w:p>
    <w:p>
      <w:pPr>
        <w:adjustRightInd w:val="0"/>
        <w:snapToGrid w:val="0"/>
        <w:spacing w:after="156" w:afterLines="50"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对照“第四章  </w:t>
      </w:r>
      <w:r>
        <w:rPr>
          <w:rFonts w:hint="eastAsia" w:hAnsi="宋体" w:cs="宋体"/>
          <w:color w:val="auto"/>
          <w:sz w:val="24"/>
          <w:highlight w:val="none"/>
        </w:rPr>
        <w:t>供应商资格证明材料</w:t>
      </w:r>
      <w:r>
        <w:rPr>
          <w:rFonts w:hint="eastAsia" w:ascii="宋体" w:hAnsi="宋体" w:cs="宋体"/>
          <w:color w:val="auto"/>
          <w:sz w:val="24"/>
          <w:highlight w:val="none"/>
        </w:rPr>
        <w:t>”等具体要求提供。</w:t>
      </w:r>
    </w:p>
    <w:p>
      <w:pPr>
        <w:autoSpaceDE w:val="0"/>
        <w:autoSpaceDN w:val="0"/>
        <w:adjustRightInd w:val="0"/>
        <w:spacing w:line="520" w:lineRule="exact"/>
        <w:ind w:firstLine="602" w:firstLineChars="200"/>
        <w:jc w:val="center"/>
        <w:rPr>
          <w:rFonts w:ascii="宋体" w:hAnsi="宋体"/>
          <w:color w:val="auto"/>
          <w:sz w:val="28"/>
          <w:highlight w:val="none"/>
        </w:rPr>
      </w:pPr>
      <w:r>
        <w:rPr>
          <w:rFonts w:ascii="宋体" w:hAnsi="宋体"/>
          <w:b/>
          <w:color w:val="auto"/>
          <w:sz w:val="30"/>
          <w:szCs w:val="30"/>
          <w:highlight w:val="none"/>
        </w:rPr>
        <w:br w:type="page"/>
      </w:r>
      <w:bookmarkStart w:id="131" w:name="_Toc11589_WPSOffice_Level2"/>
      <w:bookmarkStart w:id="132" w:name="_Toc18398_WPSOffice_Level2"/>
      <w:r>
        <w:rPr>
          <w:rFonts w:hint="eastAsia" w:ascii="宋体" w:hAnsi="宋体"/>
          <w:color w:val="auto"/>
          <w:sz w:val="28"/>
          <w:highlight w:val="none"/>
        </w:rPr>
        <w:t>（封面格式）</w:t>
      </w:r>
      <w:bookmarkEnd w:id="131"/>
      <w:bookmarkEnd w:id="132"/>
    </w:p>
    <w:p>
      <w:pPr>
        <w:autoSpaceDE w:val="0"/>
        <w:autoSpaceDN w:val="0"/>
        <w:adjustRightInd w:val="0"/>
        <w:ind w:firstLine="1680" w:firstLineChars="200"/>
        <w:jc w:val="center"/>
        <w:rPr>
          <w:rFonts w:ascii="宋体" w:hAnsi="宋体"/>
          <w:color w:val="auto"/>
          <w:sz w:val="84"/>
          <w:szCs w:val="84"/>
          <w:highlight w:val="none"/>
        </w:rPr>
      </w:pPr>
    </w:p>
    <w:p>
      <w:pPr>
        <w:autoSpaceDE w:val="0"/>
        <w:autoSpaceDN w:val="0"/>
        <w:adjustRightInd w:val="0"/>
        <w:ind w:firstLine="1680" w:firstLineChars="200"/>
        <w:rPr>
          <w:rFonts w:ascii="宋体" w:hAnsi="宋体"/>
          <w:color w:val="auto"/>
          <w:sz w:val="84"/>
          <w:szCs w:val="84"/>
          <w:highlight w:val="none"/>
        </w:rPr>
      </w:pPr>
      <w:bookmarkStart w:id="133" w:name="_Toc1892_WPSOffice_Level2"/>
      <w:bookmarkStart w:id="134" w:name="_Toc25492_WPSOffice_Level2"/>
      <w:r>
        <w:rPr>
          <w:rFonts w:hint="eastAsia" w:ascii="宋体" w:hAnsi="宋体"/>
          <w:color w:val="auto"/>
          <w:sz w:val="84"/>
          <w:szCs w:val="84"/>
          <w:highlight w:val="none"/>
        </w:rPr>
        <w:t>其它</w:t>
      </w:r>
      <w:r>
        <w:rPr>
          <w:rFonts w:hint="eastAsia" w:hAnsi="宋体"/>
          <w:color w:val="auto"/>
          <w:sz w:val="84"/>
          <w:szCs w:val="84"/>
          <w:highlight w:val="none"/>
        </w:rPr>
        <w:t>响应文件</w:t>
      </w:r>
      <w:bookmarkEnd w:id="133"/>
      <w:bookmarkEnd w:id="134"/>
    </w:p>
    <w:p>
      <w:pPr>
        <w:autoSpaceDE w:val="0"/>
        <w:autoSpaceDN w:val="0"/>
        <w:adjustRightInd w:val="0"/>
        <w:spacing w:line="520" w:lineRule="exact"/>
        <w:ind w:firstLine="880" w:firstLineChars="200"/>
        <w:jc w:val="center"/>
        <w:rPr>
          <w:rFonts w:ascii="宋体" w:hAnsi="宋体"/>
          <w:color w:val="auto"/>
          <w:sz w:val="44"/>
          <w:highlight w:val="none"/>
        </w:rPr>
      </w:pPr>
    </w:p>
    <w:p>
      <w:pPr>
        <w:autoSpaceDE w:val="0"/>
        <w:autoSpaceDN w:val="0"/>
        <w:adjustRightInd w:val="0"/>
        <w:spacing w:line="520" w:lineRule="exact"/>
        <w:ind w:firstLine="3080" w:firstLineChars="700"/>
        <w:rPr>
          <w:rFonts w:ascii="宋体" w:hAnsi="宋体"/>
          <w:color w:val="auto"/>
          <w:sz w:val="44"/>
          <w:highlight w:val="none"/>
        </w:rPr>
      </w:pPr>
      <w:bookmarkStart w:id="135" w:name="_Toc22614_WPSOffice_Level2"/>
      <w:bookmarkStart w:id="136" w:name="_Toc26337_WPSOffice_Level2"/>
      <w:r>
        <w:rPr>
          <w:rFonts w:hint="eastAsia" w:ascii="宋体" w:hAnsi="宋体"/>
          <w:color w:val="auto"/>
          <w:sz w:val="44"/>
          <w:highlight w:val="none"/>
        </w:rPr>
        <w:t>（正本/副本）</w:t>
      </w:r>
      <w:bookmarkEnd w:id="135"/>
      <w:bookmarkEnd w:id="136"/>
    </w:p>
    <w:p>
      <w:pPr>
        <w:pStyle w:val="2"/>
        <w:rPr>
          <w:rFonts w:ascii="宋体" w:hAnsi="宋体"/>
          <w:color w:val="auto"/>
          <w:sz w:val="44"/>
          <w:highlight w:val="none"/>
        </w:rPr>
      </w:pPr>
    </w:p>
    <w:p>
      <w:pPr>
        <w:pStyle w:val="2"/>
        <w:rPr>
          <w:rFonts w:ascii="宋体" w:hAnsi="宋体"/>
          <w:color w:val="auto"/>
          <w:sz w:val="44"/>
          <w:highlight w:val="none"/>
        </w:rPr>
      </w:pPr>
    </w:p>
    <w:p>
      <w:pPr>
        <w:autoSpaceDE w:val="0"/>
        <w:autoSpaceDN w:val="0"/>
        <w:adjustRightInd w:val="0"/>
        <w:snapToGrid w:val="0"/>
        <w:spacing w:after="156" w:afterLines="50" w:line="360" w:lineRule="auto"/>
        <w:ind w:firstLine="640" w:firstLineChars="200"/>
        <w:rPr>
          <w:rFonts w:ascii="宋体" w:hAnsi="宋体"/>
          <w:color w:val="auto"/>
          <w:sz w:val="32"/>
          <w:szCs w:val="32"/>
          <w:highlight w:val="none"/>
        </w:rPr>
      </w:pPr>
      <w:bookmarkStart w:id="137" w:name="_Toc30289_WPSOffice_Level2"/>
      <w:bookmarkStart w:id="138" w:name="_Toc14986_WPSOffice_Level2"/>
      <w:r>
        <w:rPr>
          <w:rFonts w:hint="eastAsia" w:ascii="宋体" w:hAnsi="宋体"/>
          <w:color w:val="auto"/>
          <w:sz w:val="32"/>
          <w:szCs w:val="32"/>
          <w:highlight w:val="none"/>
        </w:rPr>
        <w:t>项目编号：</w:t>
      </w:r>
      <w:bookmarkEnd w:id="137"/>
      <w:bookmarkEnd w:id="138"/>
      <w:r>
        <w:rPr>
          <w:rFonts w:hint="eastAsia" w:ascii="宋体" w:hAnsi="宋体"/>
          <w:color w:val="auto"/>
          <w:sz w:val="32"/>
          <w:szCs w:val="32"/>
          <w:highlight w:val="none"/>
          <w:u w:val="single"/>
        </w:rPr>
        <w:t xml:space="preserve">                     </w:t>
      </w:r>
    </w:p>
    <w:p>
      <w:pPr>
        <w:autoSpaceDE w:val="0"/>
        <w:autoSpaceDN w:val="0"/>
        <w:adjustRightInd w:val="0"/>
        <w:snapToGrid w:val="0"/>
        <w:spacing w:after="156" w:afterLines="50" w:line="360" w:lineRule="auto"/>
        <w:ind w:firstLine="640" w:firstLineChars="200"/>
        <w:rPr>
          <w:rFonts w:ascii="宋体" w:hAnsi="宋体"/>
          <w:color w:val="auto"/>
          <w:sz w:val="32"/>
          <w:szCs w:val="32"/>
          <w:highlight w:val="none"/>
          <w:u w:val="single"/>
        </w:rPr>
      </w:pPr>
      <w:bookmarkStart w:id="139" w:name="_Toc27590_WPSOffice_Level2"/>
      <w:bookmarkStart w:id="140" w:name="_Toc30244_WPSOffice_Level2"/>
      <w:r>
        <w:rPr>
          <w:rFonts w:hint="eastAsia" w:ascii="宋体" w:hAnsi="宋体"/>
          <w:color w:val="auto"/>
          <w:sz w:val="32"/>
          <w:szCs w:val="32"/>
          <w:highlight w:val="none"/>
        </w:rPr>
        <w:t>项目名称：</w:t>
      </w:r>
      <w:bookmarkEnd w:id="139"/>
      <w:bookmarkEnd w:id="140"/>
      <w:r>
        <w:rPr>
          <w:rFonts w:hint="eastAsia" w:ascii="宋体" w:hAnsi="宋体"/>
          <w:color w:val="auto"/>
          <w:sz w:val="32"/>
          <w:szCs w:val="32"/>
          <w:highlight w:val="none"/>
          <w:u w:val="single"/>
        </w:rPr>
        <w:t xml:space="preserve">                     </w:t>
      </w:r>
    </w:p>
    <w:p>
      <w:pPr>
        <w:autoSpaceDE w:val="0"/>
        <w:autoSpaceDN w:val="0"/>
        <w:adjustRightInd w:val="0"/>
        <w:snapToGrid w:val="0"/>
        <w:spacing w:after="156" w:afterLines="50" w:line="360" w:lineRule="auto"/>
        <w:ind w:firstLine="640" w:firstLineChars="200"/>
        <w:rPr>
          <w:rFonts w:ascii="宋体" w:hAnsi="宋体"/>
          <w:color w:val="auto"/>
          <w:sz w:val="32"/>
          <w:szCs w:val="32"/>
          <w:highlight w:val="none"/>
        </w:rPr>
      </w:pPr>
      <w:bookmarkStart w:id="141" w:name="_Toc1272_WPSOffice_Level2"/>
      <w:bookmarkStart w:id="142" w:name="_Toc30720_WPSOffice_Level2"/>
    </w:p>
    <w:p>
      <w:pPr>
        <w:autoSpaceDE w:val="0"/>
        <w:autoSpaceDN w:val="0"/>
        <w:adjustRightInd w:val="0"/>
        <w:snapToGrid w:val="0"/>
        <w:spacing w:after="156" w:afterLines="50" w:line="360" w:lineRule="auto"/>
        <w:ind w:firstLine="640" w:firstLineChars="200"/>
        <w:rPr>
          <w:rFonts w:ascii="宋体" w:hAnsi="宋体"/>
          <w:color w:val="auto"/>
          <w:sz w:val="32"/>
          <w:szCs w:val="32"/>
          <w:highlight w:val="none"/>
        </w:rPr>
      </w:pPr>
      <w:r>
        <w:rPr>
          <w:rFonts w:hint="eastAsia" w:ascii="宋体" w:hAnsi="宋体"/>
          <w:color w:val="auto"/>
          <w:sz w:val="32"/>
          <w:szCs w:val="32"/>
          <w:highlight w:val="none"/>
        </w:rPr>
        <w:t>供 应 商：</w:t>
      </w:r>
      <w:r>
        <w:rPr>
          <w:rFonts w:ascii="宋体" w:hAnsi="宋体"/>
          <w:color w:val="auto"/>
          <w:sz w:val="32"/>
          <w:szCs w:val="32"/>
          <w:highlight w:val="none"/>
          <w:u w:val="single"/>
        </w:rPr>
        <w:t xml:space="preserve"> </w:t>
      </w:r>
      <w:r>
        <w:rPr>
          <w:rFonts w:hint="eastAsia" w:ascii="宋体" w:hAnsi="宋体"/>
          <w:color w:val="auto"/>
          <w:sz w:val="32"/>
          <w:szCs w:val="32"/>
          <w:highlight w:val="none"/>
          <w:u w:val="single"/>
        </w:rPr>
        <w:t xml:space="preserve">                    </w:t>
      </w:r>
      <w:r>
        <w:rPr>
          <w:rFonts w:hint="eastAsia" w:ascii="宋体" w:hAnsi="宋体"/>
          <w:color w:val="auto"/>
          <w:sz w:val="32"/>
          <w:szCs w:val="32"/>
          <w:highlight w:val="none"/>
        </w:rPr>
        <w:t>（公章）</w:t>
      </w:r>
      <w:bookmarkEnd w:id="141"/>
      <w:bookmarkEnd w:id="142"/>
    </w:p>
    <w:p>
      <w:pPr>
        <w:autoSpaceDE w:val="0"/>
        <w:autoSpaceDN w:val="0"/>
        <w:adjustRightInd w:val="0"/>
        <w:snapToGrid w:val="0"/>
        <w:spacing w:after="156" w:afterLines="50" w:line="360" w:lineRule="auto"/>
        <w:ind w:firstLine="640" w:firstLineChars="200"/>
        <w:rPr>
          <w:rFonts w:ascii="宋体" w:hAnsi="宋体"/>
          <w:color w:val="auto"/>
          <w:sz w:val="32"/>
          <w:szCs w:val="32"/>
          <w:highlight w:val="none"/>
        </w:rPr>
      </w:pPr>
      <w:bookmarkStart w:id="143" w:name="_Toc18121_WPSOffice_Level2"/>
      <w:bookmarkStart w:id="144" w:name="_Toc20218_WPSOffice_Level2"/>
      <w:r>
        <w:rPr>
          <w:rFonts w:hint="eastAsia" w:ascii="宋体" w:hAnsi="宋体"/>
          <w:color w:val="auto"/>
          <w:sz w:val="32"/>
          <w:szCs w:val="32"/>
          <w:highlight w:val="none"/>
        </w:rPr>
        <w:t>日    期：</w:t>
      </w:r>
      <w:r>
        <w:rPr>
          <w:rFonts w:hint="eastAsia" w:ascii="宋体" w:hAnsi="宋体"/>
          <w:color w:val="auto"/>
          <w:sz w:val="32"/>
          <w:szCs w:val="32"/>
          <w:highlight w:val="none"/>
          <w:u w:val="single"/>
        </w:rPr>
        <w:t xml:space="preserve">     </w:t>
      </w:r>
      <w:r>
        <w:rPr>
          <w:rFonts w:hint="eastAsia" w:ascii="宋体" w:hAnsi="宋体"/>
          <w:color w:val="auto"/>
          <w:sz w:val="32"/>
          <w:szCs w:val="32"/>
          <w:highlight w:val="none"/>
        </w:rPr>
        <w:t>年</w:t>
      </w:r>
      <w:r>
        <w:rPr>
          <w:rFonts w:hint="eastAsia" w:ascii="宋体" w:hAnsi="宋体"/>
          <w:color w:val="auto"/>
          <w:sz w:val="32"/>
          <w:szCs w:val="32"/>
          <w:highlight w:val="none"/>
          <w:u w:val="single"/>
        </w:rPr>
        <w:t xml:space="preserve">     </w:t>
      </w:r>
      <w:r>
        <w:rPr>
          <w:rFonts w:hint="eastAsia" w:ascii="宋体" w:hAnsi="宋体"/>
          <w:color w:val="auto"/>
          <w:sz w:val="32"/>
          <w:szCs w:val="32"/>
          <w:highlight w:val="none"/>
        </w:rPr>
        <w:t>月</w:t>
      </w:r>
      <w:r>
        <w:rPr>
          <w:rFonts w:hint="eastAsia" w:ascii="宋体" w:hAnsi="宋体"/>
          <w:color w:val="auto"/>
          <w:sz w:val="32"/>
          <w:szCs w:val="32"/>
          <w:highlight w:val="none"/>
          <w:u w:val="single"/>
        </w:rPr>
        <w:t xml:space="preserve">     </w:t>
      </w:r>
      <w:r>
        <w:rPr>
          <w:rFonts w:hint="eastAsia" w:ascii="宋体" w:hAnsi="宋体"/>
          <w:color w:val="auto"/>
          <w:sz w:val="32"/>
          <w:szCs w:val="32"/>
          <w:highlight w:val="none"/>
        </w:rPr>
        <w:t>日</w:t>
      </w:r>
      <w:bookmarkEnd w:id="143"/>
      <w:bookmarkEnd w:id="144"/>
    </w:p>
    <w:p>
      <w:pPr>
        <w:jc w:val="center"/>
        <w:rPr>
          <w:color w:val="auto"/>
          <w:szCs w:val="28"/>
          <w:highlight w:val="none"/>
        </w:rPr>
      </w:pPr>
      <w:r>
        <w:rPr>
          <w:color w:val="auto"/>
          <w:highlight w:val="none"/>
        </w:rPr>
        <w:br w:type="page"/>
      </w:r>
      <w:bookmarkStart w:id="145" w:name="_Toc217446087"/>
      <w:r>
        <w:rPr>
          <w:rFonts w:hint="eastAsia"/>
          <w:b/>
          <w:bCs/>
          <w:color w:val="auto"/>
          <w:sz w:val="28"/>
          <w:szCs w:val="36"/>
          <w:highlight w:val="none"/>
        </w:rPr>
        <w:t>目录（自拟）</w:t>
      </w:r>
    </w:p>
    <w:p>
      <w:pPr>
        <w:rPr>
          <w:color w:val="auto"/>
          <w:highlight w:val="none"/>
        </w:rPr>
      </w:pPr>
      <w:r>
        <w:rPr>
          <w:rFonts w:hint="eastAsia"/>
          <w:color w:val="auto"/>
          <w:highlight w:val="none"/>
        </w:rPr>
        <w:br w:type="page"/>
      </w:r>
    </w:p>
    <w:p>
      <w:pPr>
        <w:pStyle w:val="5"/>
        <w:numPr>
          <w:ilvl w:val="0"/>
          <w:numId w:val="4"/>
        </w:numPr>
        <w:spacing w:before="0" w:after="0" w:line="360" w:lineRule="auto"/>
        <w:jc w:val="center"/>
        <w:rPr>
          <w:rFonts w:hint="eastAsia"/>
          <w:color w:val="auto"/>
          <w:highlight w:val="none"/>
        </w:rPr>
      </w:pPr>
      <w:r>
        <w:rPr>
          <w:rFonts w:hint="eastAsia"/>
          <w:color w:val="auto"/>
          <w:highlight w:val="none"/>
        </w:rPr>
        <w:t>响应函</w:t>
      </w:r>
    </w:p>
    <w:p>
      <w:pPr>
        <w:numPr>
          <w:ilvl w:val="0"/>
          <w:numId w:val="0"/>
        </w:numPr>
        <w:rPr>
          <w:highlight w:val="none"/>
        </w:rPr>
      </w:pPr>
    </w:p>
    <w:p>
      <w:pPr>
        <w:spacing w:line="360" w:lineRule="auto"/>
        <w:rPr>
          <w:rFonts w:ascii="宋体" w:hAnsi="宋体"/>
          <w:color w:val="auto"/>
          <w:sz w:val="24"/>
          <w:highlight w:val="none"/>
        </w:rPr>
      </w:pPr>
      <w:r>
        <w:rPr>
          <w:rFonts w:hint="eastAsia" w:ascii="宋体" w:hAnsi="宋体"/>
          <w:color w:val="auto"/>
          <w:sz w:val="24"/>
          <w:highlight w:val="none"/>
        </w:rPr>
        <w:t>四川易通天和招标代理有限公司：</w:t>
      </w:r>
    </w:p>
    <w:p>
      <w:pPr>
        <w:pStyle w:val="13"/>
        <w:spacing w:after="0" w:line="360" w:lineRule="auto"/>
        <w:ind w:left="0" w:leftChars="0" w:firstLine="480" w:firstLineChars="200"/>
        <w:jc w:val="left"/>
        <w:rPr>
          <w:rFonts w:ascii="宋体" w:hAnsi="宋体"/>
          <w:bCs/>
          <w:color w:val="auto"/>
          <w:sz w:val="24"/>
          <w:highlight w:val="none"/>
        </w:rPr>
      </w:pPr>
      <w:r>
        <w:rPr>
          <w:rFonts w:hint="eastAsia" w:ascii="宋体" w:hAnsi="宋体"/>
          <w:bCs/>
          <w:color w:val="auto"/>
          <w:sz w:val="24"/>
          <w:highlight w:val="none"/>
        </w:rPr>
        <w:t>我方全面研究了 “</w:t>
      </w:r>
      <w:r>
        <w:rPr>
          <w:rFonts w:hint="eastAsia" w:ascii="宋体" w:hAnsi="宋体"/>
          <w:bCs/>
          <w:color w:val="auto"/>
          <w:sz w:val="24"/>
          <w:highlight w:val="none"/>
          <w:u w:val="single"/>
        </w:rPr>
        <w:t xml:space="preserve">           </w:t>
      </w:r>
      <w:r>
        <w:rPr>
          <w:rFonts w:hint="eastAsia" w:ascii="宋体" w:hAnsi="宋体"/>
          <w:bCs/>
          <w:color w:val="auto"/>
          <w:sz w:val="24"/>
          <w:highlight w:val="none"/>
        </w:rPr>
        <w:t>”（项目名称）（项目编号：</w:t>
      </w:r>
      <w:r>
        <w:rPr>
          <w:rFonts w:hint="eastAsia" w:ascii="宋体" w:hAnsi="宋体"/>
          <w:bCs/>
          <w:color w:val="auto"/>
          <w:sz w:val="24"/>
          <w:highlight w:val="none"/>
          <w:u w:val="single"/>
        </w:rPr>
        <w:t xml:space="preserve">       </w:t>
      </w:r>
      <w:r>
        <w:rPr>
          <w:rFonts w:hint="eastAsia" w:ascii="宋体" w:hAnsi="宋体"/>
          <w:bCs/>
          <w:color w:val="auto"/>
          <w:sz w:val="24"/>
          <w:highlight w:val="none"/>
        </w:rPr>
        <w:t>）磋商文件，决定参加贵单位组织的本项目磋商采购。</w:t>
      </w:r>
    </w:p>
    <w:p>
      <w:pPr>
        <w:pStyle w:val="13"/>
        <w:spacing w:after="0" w:line="360" w:lineRule="auto"/>
        <w:ind w:left="0" w:leftChars="0" w:firstLine="480" w:firstLineChars="200"/>
        <w:jc w:val="left"/>
        <w:rPr>
          <w:rFonts w:ascii="宋体" w:hAnsi="宋体" w:cs="宋体"/>
          <w:bCs/>
          <w:color w:val="auto"/>
          <w:sz w:val="24"/>
          <w:highlight w:val="none"/>
        </w:rPr>
      </w:pPr>
      <w:r>
        <w:rPr>
          <w:rFonts w:hint="eastAsia" w:ascii="宋体" w:hAnsi="宋体" w:cs="宋体"/>
          <w:bCs/>
          <w:color w:val="auto"/>
          <w:sz w:val="24"/>
          <w:highlight w:val="none"/>
        </w:rPr>
        <w:t>1、我方自愿按照磋商文件规定的各项要求向采购人提供所需服务，第一次总报价为“第一次报价一览表”中所述价格。</w:t>
      </w:r>
    </w:p>
    <w:p>
      <w:pPr>
        <w:pStyle w:val="13"/>
        <w:numPr>
          <w:ilvl w:val="0"/>
          <w:numId w:val="5"/>
        </w:numPr>
        <w:spacing w:after="0" w:line="360" w:lineRule="auto"/>
        <w:ind w:left="0" w:leftChars="0" w:firstLine="480" w:firstLineChars="200"/>
        <w:jc w:val="left"/>
        <w:rPr>
          <w:rFonts w:ascii="宋体" w:hAnsi="宋体" w:cs="宋体"/>
          <w:bCs/>
          <w:color w:val="auto"/>
          <w:sz w:val="24"/>
          <w:highlight w:val="none"/>
        </w:rPr>
      </w:pPr>
      <w:r>
        <w:rPr>
          <w:rFonts w:hint="eastAsia" w:ascii="宋体" w:hAnsi="宋体" w:cs="宋体"/>
          <w:bCs/>
          <w:color w:val="auto"/>
          <w:sz w:val="24"/>
          <w:highlight w:val="none"/>
        </w:rPr>
        <w:t>一旦我方成交，我方将严格履行合同规定的责任和义务，保证于合同签字生效后按合同约定时间完成，并交付采购人验收、使用。</w:t>
      </w:r>
    </w:p>
    <w:p>
      <w:pPr>
        <w:pStyle w:val="13"/>
        <w:numPr>
          <w:ilvl w:val="0"/>
          <w:numId w:val="5"/>
        </w:numPr>
        <w:spacing w:after="0" w:line="360" w:lineRule="auto"/>
        <w:ind w:left="0" w:leftChars="0" w:firstLine="480" w:firstLineChars="200"/>
        <w:jc w:val="left"/>
        <w:rPr>
          <w:rFonts w:ascii="宋体" w:hAnsi="宋体" w:cs="宋体"/>
          <w:bCs/>
          <w:color w:val="auto"/>
          <w:sz w:val="24"/>
          <w:highlight w:val="none"/>
        </w:rPr>
      </w:pPr>
      <w:r>
        <w:rPr>
          <w:rFonts w:hint="eastAsia" w:ascii="宋体" w:hAnsi="宋体" w:cs="宋体"/>
          <w:bCs/>
          <w:color w:val="auto"/>
          <w:sz w:val="24"/>
          <w:highlight w:val="none"/>
        </w:rPr>
        <w:t>我方同意本磋商文件依据《四川省政府采购当事人诚信管理办法》（川财采〔2015〕33号文件）对我方可能存在的失信行为进行惩戒。</w:t>
      </w:r>
    </w:p>
    <w:p>
      <w:pPr>
        <w:pStyle w:val="13"/>
        <w:numPr>
          <w:ilvl w:val="0"/>
          <w:numId w:val="5"/>
        </w:numPr>
        <w:spacing w:after="0" w:line="360" w:lineRule="auto"/>
        <w:ind w:left="0" w:leftChars="0" w:firstLine="480" w:firstLineChars="200"/>
        <w:rPr>
          <w:rFonts w:ascii="宋体" w:hAnsi="宋体" w:cs="宋体"/>
          <w:bCs/>
          <w:color w:val="auto"/>
          <w:sz w:val="24"/>
          <w:highlight w:val="none"/>
        </w:rPr>
      </w:pPr>
      <w:r>
        <w:rPr>
          <w:rFonts w:hint="eastAsia" w:ascii="宋体" w:hAnsi="宋体" w:cs="宋体"/>
          <w:bCs/>
          <w:color w:val="auto"/>
          <w:sz w:val="24"/>
          <w:highlight w:val="none"/>
        </w:rPr>
        <w:t>我方同意按照磋商文件的要求，向贵单位交纳人民币</w:t>
      </w:r>
      <w:r>
        <w:rPr>
          <w:rFonts w:hint="eastAsia" w:ascii="宋体" w:hAnsi="宋体" w:cs="宋体"/>
          <w:bCs/>
          <w:color w:val="auto"/>
          <w:sz w:val="24"/>
          <w:highlight w:val="none"/>
          <w:u w:val="single"/>
        </w:rPr>
        <w:t xml:space="preserve"> /   </w:t>
      </w:r>
      <w:r>
        <w:rPr>
          <w:rFonts w:hint="eastAsia" w:ascii="宋体" w:hAnsi="宋体" w:cs="宋体"/>
          <w:bCs/>
          <w:color w:val="auto"/>
          <w:sz w:val="24"/>
          <w:highlight w:val="none"/>
        </w:rPr>
        <w:t>元（大写：</w:t>
      </w:r>
      <w:r>
        <w:rPr>
          <w:rFonts w:hint="eastAsia" w:ascii="宋体" w:hAnsi="宋体" w:cs="宋体"/>
          <w:bCs/>
          <w:color w:val="auto"/>
          <w:sz w:val="24"/>
          <w:highlight w:val="none"/>
          <w:u w:val="single"/>
        </w:rPr>
        <w:t xml:space="preserve">  /   </w:t>
      </w:r>
      <w:r>
        <w:rPr>
          <w:rFonts w:hint="eastAsia" w:ascii="宋体" w:hAnsi="宋体" w:cs="宋体"/>
          <w:bCs/>
          <w:color w:val="auto"/>
          <w:sz w:val="24"/>
          <w:highlight w:val="none"/>
        </w:rPr>
        <w:t>）的磋商保证金。并承诺：下列任何情况发生时，我方将不要求退还磋商保证金：</w:t>
      </w:r>
    </w:p>
    <w:p>
      <w:pPr>
        <w:pStyle w:val="13"/>
        <w:spacing w:after="0" w:line="360" w:lineRule="auto"/>
        <w:jc w:val="left"/>
        <w:rPr>
          <w:rFonts w:ascii="宋体" w:hAnsi="宋体" w:cs="宋体"/>
          <w:bCs/>
          <w:color w:val="auto"/>
          <w:sz w:val="24"/>
          <w:highlight w:val="none"/>
        </w:rPr>
      </w:pPr>
      <w:r>
        <w:rPr>
          <w:rFonts w:hint="eastAsia" w:ascii="宋体" w:hAnsi="宋体" w:cs="宋体"/>
          <w:bCs/>
          <w:color w:val="auto"/>
          <w:sz w:val="24"/>
          <w:highlight w:val="none"/>
        </w:rPr>
        <w:t>（1）如果我方在磋商有效期内撤回响应文件；</w:t>
      </w:r>
    </w:p>
    <w:p>
      <w:pPr>
        <w:pStyle w:val="13"/>
        <w:spacing w:after="0" w:line="360" w:lineRule="auto"/>
        <w:jc w:val="left"/>
        <w:rPr>
          <w:rFonts w:ascii="宋体" w:hAnsi="宋体" w:cs="宋体"/>
          <w:bCs/>
          <w:color w:val="auto"/>
          <w:sz w:val="24"/>
          <w:highlight w:val="none"/>
        </w:rPr>
      </w:pPr>
      <w:r>
        <w:rPr>
          <w:rFonts w:hint="eastAsia" w:ascii="宋体" w:hAnsi="宋体" w:cs="宋体"/>
          <w:bCs/>
          <w:color w:val="auto"/>
          <w:sz w:val="24"/>
          <w:highlight w:val="none"/>
        </w:rPr>
        <w:t>（2）我方提供了虚假响应磋商文件的响应文件；</w:t>
      </w:r>
    </w:p>
    <w:p>
      <w:pPr>
        <w:pStyle w:val="13"/>
        <w:spacing w:after="0" w:line="360" w:lineRule="auto"/>
        <w:jc w:val="left"/>
        <w:rPr>
          <w:rFonts w:ascii="宋体" w:hAnsi="宋体" w:cs="宋体"/>
          <w:bCs/>
          <w:color w:val="auto"/>
          <w:sz w:val="24"/>
          <w:highlight w:val="none"/>
        </w:rPr>
      </w:pPr>
      <w:r>
        <w:rPr>
          <w:rFonts w:hint="eastAsia" w:ascii="宋体" w:hAnsi="宋体" w:cs="宋体"/>
          <w:bCs/>
          <w:color w:val="auto"/>
          <w:sz w:val="24"/>
          <w:highlight w:val="none"/>
        </w:rPr>
        <w:t>（3）在磋商过程中有违规违纪行为；</w:t>
      </w:r>
    </w:p>
    <w:p>
      <w:pPr>
        <w:pStyle w:val="13"/>
        <w:spacing w:after="0" w:line="360" w:lineRule="auto"/>
        <w:ind w:left="0" w:leftChars="0" w:firstLine="480" w:firstLineChars="200"/>
        <w:jc w:val="left"/>
        <w:rPr>
          <w:rFonts w:ascii="宋体" w:hAnsi="宋体" w:cs="宋体"/>
          <w:bCs/>
          <w:color w:val="auto"/>
          <w:sz w:val="24"/>
          <w:highlight w:val="none"/>
        </w:rPr>
      </w:pPr>
      <w:r>
        <w:rPr>
          <w:rFonts w:hint="eastAsia" w:ascii="宋体" w:hAnsi="宋体" w:cs="宋体"/>
          <w:bCs/>
          <w:color w:val="auto"/>
          <w:sz w:val="24"/>
          <w:highlight w:val="none"/>
        </w:rPr>
        <w:t>（4）我方在磋商有效期内收到成交通知书后，由于我方原因未能按照磋商文件要求提交履约保证金或与采购人签订并履行合同。</w:t>
      </w:r>
    </w:p>
    <w:p>
      <w:pPr>
        <w:pStyle w:val="13"/>
        <w:spacing w:after="0" w:line="360" w:lineRule="auto"/>
        <w:ind w:left="0" w:leftChars="0" w:firstLine="480" w:firstLineChars="200"/>
        <w:jc w:val="left"/>
        <w:rPr>
          <w:rFonts w:ascii="宋体" w:hAnsi="宋体"/>
          <w:bCs/>
          <w:color w:val="auto"/>
          <w:sz w:val="24"/>
          <w:highlight w:val="none"/>
        </w:rPr>
      </w:pPr>
      <w:r>
        <w:rPr>
          <w:rFonts w:hint="eastAsia" w:ascii="宋体" w:hAnsi="宋体"/>
          <w:bCs/>
          <w:color w:val="auto"/>
          <w:sz w:val="24"/>
          <w:highlight w:val="none"/>
        </w:rPr>
        <w:t>5、我方为本项目提交的响应文件正本</w:t>
      </w:r>
      <w:r>
        <w:rPr>
          <w:rFonts w:hint="eastAsia" w:ascii="宋体" w:hAnsi="宋体"/>
          <w:bCs/>
          <w:color w:val="auto"/>
          <w:sz w:val="24"/>
          <w:highlight w:val="none"/>
          <w:u w:val="single"/>
        </w:rPr>
        <w:t xml:space="preserve"> 壹 </w:t>
      </w:r>
      <w:r>
        <w:rPr>
          <w:rFonts w:hint="eastAsia" w:ascii="宋体" w:hAnsi="宋体"/>
          <w:bCs/>
          <w:color w:val="auto"/>
          <w:sz w:val="24"/>
          <w:highlight w:val="none"/>
        </w:rPr>
        <w:t>份、副本</w:t>
      </w:r>
      <w:r>
        <w:rPr>
          <w:rFonts w:hint="eastAsia" w:ascii="宋体" w:hAnsi="宋体"/>
          <w:bCs/>
          <w:color w:val="auto"/>
          <w:sz w:val="24"/>
          <w:highlight w:val="none"/>
          <w:u w:val="single"/>
        </w:rPr>
        <w:t xml:space="preserve"> </w:t>
      </w:r>
      <w:r>
        <w:rPr>
          <w:rFonts w:hint="eastAsia" w:ascii="宋体" w:hAnsi="宋体"/>
          <w:color w:val="auto"/>
          <w:sz w:val="24"/>
          <w:highlight w:val="none"/>
          <w:u w:val="single"/>
        </w:rPr>
        <w:t xml:space="preserve">壹 </w:t>
      </w:r>
      <w:r>
        <w:rPr>
          <w:rFonts w:hint="eastAsia" w:ascii="宋体" w:hAnsi="宋体"/>
          <w:bCs/>
          <w:color w:val="auto"/>
          <w:sz w:val="24"/>
          <w:highlight w:val="none"/>
        </w:rPr>
        <w:t>份，本次磋商，我方递交的</w:t>
      </w:r>
      <w:r>
        <w:rPr>
          <w:rFonts w:hint="eastAsia" w:ascii="宋体" w:hAnsi="宋体"/>
          <w:color w:val="auto"/>
          <w:sz w:val="24"/>
          <w:highlight w:val="none"/>
        </w:rPr>
        <w:t>响应文件有效期为递交磋商响应文件截止之日起</w:t>
      </w:r>
      <w:r>
        <w:rPr>
          <w:rFonts w:hint="eastAsia" w:ascii="宋体" w:hAnsi="宋体"/>
          <w:color w:val="auto"/>
          <w:sz w:val="24"/>
          <w:highlight w:val="none"/>
          <w:u w:val="single"/>
        </w:rPr>
        <w:t>90天</w:t>
      </w:r>
      <w:r>
        <w:rPr>
          <w:rFonts w:hint="eastAsia" w:ascii="宋体" w:hAnsi="宋体"/>
          <w:bCs/>
          <w:color w:val="auto"/>
          <w:sz w:val="24"/>
          <w:highlight w:val="none"/>
        </w:rPr>
        <w:t>。</w:t>
      </w:r>
    </w:p>
    <w:p>
      <w:pPr>
        <w:pStyle w:val="13"/>
        <w:spacing w:after="0" w:line="360" w:lineRule="auto"/>
        <w:ind w:left="0" w:leftChars="0" w:firstLine="480" w:firstLineChars="200"/>
        <w:jc w:val="left"/>
        <w:rPr>
          <w:rFonts w:ascii="宋体" w:hAnsi="宋体"/>
          <w:bCs/>
          <w:color w:val="auto"/>
          <w:sz w:val="24"/>
          <w:highlight w:val="none"/>
        </w:rPr>
      </w:pPr>
      <w:r>
        <w:rPr>
          <w:rFonts w:hint="eastAsia" w:ascii="宋体" w:hAnsi="宋体"/>
          <w:bCs/>
          <w:color w:val="auto"/>
          <w:sz w:val="24"/>
          <w:highlight w:val="none"/>
        </w:rPr>
        <w:t>6、我方愿意提供贵单位可能另外要求的，与磋商有关的文件资料，并保证我方已提供和将要提供的文件资料是真实、准确的。</w:t>
      </w:r>
    </w:p>
    <w:p>
      <w:pPr>
        <w:pStyle w:val="13"/>
        <w:spacing w:after="0" w:line="360" w:lineRule="auto"/>
        <w:ind w:left="0" w:leftChars="0" w:firstLine="480" w:firstLineChars="200"/>
        <w:jc w:val="left"/>
        <w:rPr>
          <w:rFonts w:ascii="宋体" w:hAnsi="宋体"/>
          <w:bCs/>
          <w:color w:val="auto"/>
          <w:sz w:val="24"/>
          <w:highlight w:val="none"/>
        </w:rPr>
      </w:pPr>
      <w:r>
        <w:rPr>
          <w:rFonts w:hint="eastAsia" w:ascii="宋体" w:hAnsi="宋体"/>
          <w:bCs/>
          <w:color w:val="auto"/>
          <w:sz w:val="24"/>
          <w:highlight w:val="none"/>
        </w:rPr>
        <w:t>7、国家或行业主管部门对采购产品的技术标准、质量标准和资格资质条件等有强制性规定的，我方承诺符合其要求。</w:t>
      </w:r>
    </w:p>
    <w:p>
      <w:pPr>
        <w:pStyle w:val="13"/>
        <w:spacing w:after="0" w:line="360" w:lineRule="auto"/>
        <w:ind w:left="0" w:leftChars="0" w:firstLine="480" w:firstLineChars="200"/>
        <w:jc w:val="left"/>
        <w:rPr>
          <w:bCs/>
          <w:color w:val="auto"/>
          <w:sz w:val="24"/>
          <w:highlight w:val="none"/>
        </w:rPr>
      </w:pPr>
      <w:r>
        <w:rPr>
          <w:rFonts w:hint="eastAsia" w:ascii="宋体" w:hAnsi="宋体"/>
          <w:bCs/>
          <w:color w:val="auto"/>
          <w:sz w:val="24"/>
          <w:highlight w:val="none"/>
        </w:rPr>
        <w:t>8、我方完全理解采购人不一定将合同授予最低报价的供应商的行为。</w:t>
      </w:r>
    </w:p>
    <w:p>
      <w:pPr>
        <w:adjustRightInd w:val="0"/>
        <w:spacing w:line="360" w:lineRule="auto"/>
        <w:ind w:firstLine="480" w:firstLineChars="200"/>
        <w:jc w:val="left"/>
        <w:rPr>
          <w:rFonts w:ascii="宋体" w:hAnsi="宋体"/>
          <w:color w:val="auto"/>
          <w:sz w:val="24"/>
          <w:highlight w:val="none"/>
        </w:rPr>
      </w:pPr>
      <w:bookmarkStart w:id="146" w:name="_Toc217446085"/>
    </w:p>
    <w:p>
      <w:pPr>
        <w:adjustRightIn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供应商名称（盖章）：</w:t>
      </w:r>
      <w:r>
        <w:rPr>
          <w:rFonts w:hint="eastAsia" w:ascii="宋体" w:hAnsi="宋体"/>
          <w:color w:val="auto"/>
          <w:sz w:val="24"/>
          <w:highlight w:val="none"/>
          <w:u w:val="single"/>
        </w:rPr>
        <w:t xml:space="preserve">                      </w:t>
      </w:r>
    </w:p>
    <w:p>
      <w:pPr>
        <w:adjustRightIn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法定代表人或授权代表（签字或加盖个人名章）：</w:t>
      </w:r>
      <w:r>
        <w:rPr>
          <w:rFonts w:hint="eastAsia" w:ascii="宋体" w:hAnsi="宋体"/>
          <w:color w:val="auto"/>
          <w:sz w:val="24"/>
          <w:highlight w:val="none"/>
          <w:u w:val="single"/>
        </w:rPr>
        <w:t xml:space="preserve">           </w:t>
      </w:r>
    </w:p>
    <w:p>
      <w:pPr>
        <w:spacing w:line="360" w:lineRule="auto"/>
        <w:ind w:firstLine="480" w:firstLineChars="200"/>
        <w:rPr>
          <w:rFonts w:ascii="新宋体" w:hAnsi="新宋体" w:eastAsia="新宋体"/>
          <w:color w:val="auto"/>
          <w:sz w:val="24"/>
          <w:highlight w:val="none"/>
        </w:rPr>
      </w:pPr>
      <w:r>
        <w:rPr>
          <w:rFonts w:hint="eastAsia" w:ascii="宋体" w:hAnsi="宋体"/>
          <w:color w:val="auto"/>
          <w:sz w:val="24"/>
          <w:highlight w:val="none"/>
        </w:rPr>
        <w:t>日    期：</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ascii="宋体" w:hAnsi="宋体"/>
          <w:color w:val="auto"/>
          <w:sz w:val="24"/>
          <w:highlight w:val="none"/>
        </w:rPr>
        <w:t>年</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ascii="宋体" w:hAnsi="宋体"/>
          <w:color w:val="auto"/>
          <w:sz w:val="24"/>
          <w:highlight w:val="none"/>
        </w:rPr>
        <w:t>月</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ascii="宋体" w:hAnsi="宋体"/>
          <w:color w:val="auto"/>
          <w:sz w:val="24"/>
          <w:highlight w:val="none"/>
        </w:rPr>
        <w:t>日</w:t>
      </w:r>
      <w:bookmarkEnd w:id="145"/>
      <w:bookmarkEnd w:id="146"/>
    </w:p>
    <w:p>
      <w:pPr>
        <w:pStyle w:val="5"/>
        <w:numPr>
          <w:ilvl w:val="0"/>
          <w:numId w:val="6"/>
        </w:numPr>
        <w:jc w:val="center"/>
        <w:rPr>
          <w:rFonts w:hint="eastAsia"/>
          <w:color w:val="auto"/>
          <w:highlight w:val="none"/>
        </w:rPr>
      </w:pPr>
      <w:bookmarkStart w:id="147" w:name="_Toc17152_WPSOffice_Level2"/>
      <w:bookmarkStart w:id="148" w:name="_Toc4636_WPSOffice_Level2"/>
      <w:r>
        <w:rPr>
          <w:rFonts w:hint="eastAsia"/>
          <w:color w:val="auto"/>
          <w:highlight w:val="none"/>
        </w:rPr>
        <w:t>第一次报价一览表</w:t>
      </w:r>
    </w:p>
    <w:p>
      <w:pPr>
        <w:numPr>
          <w:ilvl w:val="0"/>
          <w:numId w:val="0"/>
        </w:numPr>
        <w:rPr>
          <w:highlight w:val="none"/>
        </w:rPr>
      </w:pPr>
    </w:p>
    <w:p>
      <w:pPr>
        <w:spacing w:line="360" w:lineRule="auto"/>
        <w:jc w:val="left"/>
        <w:rPr>
          <w:rFonts w:ascii="宋体" w:hAnsi="宋体"/>
          <w:color w:val="auto"/>
          <w:sz w:val="24"/>
          <w:highlight w:val="none"/>
          <w:u w:val="single"/>
        </w:rPr>
      </w:pPr>
      <w:r>
        <w:rPr>
          <w:rFonts w:hint="eastAsia" w:ascii="宋体" w:hAnsi="宋体"/>
          <w:color w:val="auto"/>
          <w:sz w:val="24"/>
          <w:highlight w:val="none"/>
        </w:rPr>
        <w:t>项目名称：</w:t>
      </w:r>
    </w:p>
    <w:p>
      <w:pPr>
        <w:spacing w:line="360" w:lineRule="auto"/>
        <w:jc w:val="left"/>
        <w:rPr>
          <w:rFonts w:ascii="宋体" w:hAnsi="宋体"/>
          <w:color w:val="auto"/>
          <w:sz w:val="24"/>
          <w:highlight w:val="none"/>
        </w:rPr>
      </w:pPr>
      <w:r>
        <w:rPr>
          <w:rFonts w:hint="eastAsia" w:ascii="宋体" w:hAnsi="宋体"/>
          <w:color w:val="auto"/>
          <w:sz w:val="24"/>
          <w:highlight w:val="none"/>
        </w:rPr>
        <w:t>项目编号：</w:t>
      </w:r>
    </w:p>
    <w:tbl>
      <w:tblPr>
        <w:tblStyle w:val="19"/>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1"/>
        <w:gridCol w:w="73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055" w:type="pct"/>
            <w:vAlign w:val="center"/>
          </w:tcPr>
          <w:p>
            <w:pPr>
              <w:tabs>
                <w:tab w:val="left" w:pos="7513"/>
              </w:tabs>
              <w:spacing w:line="360" w:lineRule="auto"/>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项目名称</w:t>
            </w:r>
          </w:p>
        </w:tc>
        <w:tc>
          <w:tcPr>
            <w:tcW w:w="3944" w:type="pct"/>
            <w:vAlign w:val="center"/>
          </w:tcPr>
          <w:p>
            <w:pPr>
              <w:tabs>
                <w:tab w:val="left" w:pos="7513"/>
              </w:tabs>
              <w:spacing w:line="360" w:lineRule="auto"/>
              <w:jc w:val="center"/>
              <w:rPr>
                <w:rFonts w:ascii="宋体" w:hAnsi="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34" w:hRule="atLeast"/>
          <w:jc w:val="center"/>
        </w:trPr>
        <w:tc>
          <w:tcPr>
            <w:tcW w:w="1055" w:type="pct"/>
            <w:vAlign w:val="center"/>
          </w:tcPr>
          <w:p>
            <w:pPr>
              <w:tabs>
                <w:tab w:val="left" w:pos="7513"/>
              </w:tabs>
              <w:spacing w:line="360" w:lineRule="auto"/>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项目编号</w:t>
            </w:r>
          </w:p>
        </w:tc>
        <w:tc>
          <w:tcPr>
            <w:tcW w:w="3944" w:type="pct"/>
            <w:vAlign w:val="center"/>
          </w:tcPr>
          <w:p>
            <w:pPr>
              <w:tabs>
                <w:tab w:val="left" w:pos="7513"/>
              </w:tabs>
              <w:spacing w:line="360" w:lineRule="auto"/>
              <w:jc w:val="center"/>
              <w:rPr>
                <w:rFonts w:ascii="宋体" w:hAnsi="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055" w:type="pct"/>
            <w:vAlign w:val="center"/>
          </w:tcPr>
          <w:p>
            <w:pPr>
              <w:tabs>
                <w:tab w:val="left" w:pos="7513"/>
              </w:tabs>
              <w:spacing w:line="360" w:lineRule="auto"/>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供应商名称</w:t>
            </w:r>
          </w:p>
        </w:tc>
        <w:tc>
          <w:tcPr>
            <w:tcW w:w="3944" w:type="pct"/>
            <w:vAlign w:val="center"/>
          </w:tcPr>
          <w:p>
            <w:pPr>
              <w:tabs>
                <w:tab w:val="left" w:pos="7513"/>
              </w:tabs>
              <w:spacing w:line="360" w:lineRule="auto"/>
              <w:jc w:val="center"/>
              <w:rPr>
                <w:rFonts w:ascii="宋体" w:hAnsi="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34" w:hRule="atLeast"/>
          <w:jc w:val="center"/>
        </w:trPr>
        <w:tc>
          <w:tcPr>
            <w:tcW w:w="1971" w:type="dxa"/>
            <w:vAlign w:val="center"/>
          </w:tcPr>
          <w:p>
            <w:pPr>
              <w:tabs>
                <w:tab w:val="left" w:pos="7513"/>
              </w:tabs>
              <w:jc w:val="center"/>
              <w:rPr>
                <w:rFonts w:hint="eastAsia" w:ascii="宋体" w:hAnsi="宋体" w:eastAsia="宋体" w:cs="宋体"/>
                <w:color w:val="auto"/>
                <w:kern w:val="0"/>
                <w:sz w:val="21"/>
                <w:szCs w:val="21"/>
                <w:highlight w:val="none"/>
                <w:lang w:val="en-US" w:eastAsia="zh-CN"/>
              </w:rPr>
            </w:pPr>
            <w:r>
              <w:rPr>
                <w:rFonts w:hint="eastAsia" w:ascii="宋体" w:hAnsi="宋体" w:cs="宋体"/>
                <w:color w:val="auto"/>
                <w:kern w:val="0"/>
                <w:szCs w:val="21"/>
                <w:highlight w:val="none"/>
              </w:rPr>
              <w:t>报价合计</w:t>
            </w:r>
          </w:p>
        </w:tc>
        <w:tc>
          <w:tcPr>
            <w:tcW w:w="7370" w:type="dxa"/>
            <w:vAlign w:val="center"/>
          </w:tcPr>
          <w:p>
            <w:pPr>
              <w:tabs>
                <w:tab w:val="left" w:pos="7513"/>
              </w:tabs>
              <w:spacing w:line="360" w:lineRule="auto"/>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人民币：</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元</w:t>
            </w:r>
          </w:p>
          <w:p>
            <w:pPr>
              <w:tabs>
                <w:tab w:val="left" w:pos="7513"/>
              </w:tabs>
              <w:spacing w:line="360" w:lineRule="auto"/>
              <w:jc w:val="center"/>
              <w:rPr>
                <w:rFonts w:ascii="宋体" w:hAnsi="宋体" w:cs="宋体"/>
                <w:color w:val="auto"/>
                <w:kern w:val="0"/>
                <w:sz w:val="21"/>
                <w:szCs w:val="21"/>
                <w:highlight w:val="none"/>
              </w:rPr>
            </w:pPr>
            <w:r>
              <w:rPr>
                <w:rFonts w:hint="eastAsia" w:ascii="宋体" w:hAnsi="宋体" w:cs="宋体"/>
                <w:color w:val="auto"/>
                <w:kern w:val="0"/>
                <w:szCs w:val="21"/>
                <w:highlight w:val="none"/>
              </w:rPr>
              <w:t>（大写：</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055" w:type="pct"/>
            <w:vAlign w:val="center"/>
          </w:tcPr>
          <w:p>
            <w:pPr>
              <w:tabs>
                <w:tab w:val="left" w:pos="7513"/>
              </w:tabs>
              <w:spacing w:line="360" w:lineRule="auto"/>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备注</w:t>
            </w:r>
          </w:p>
        </w:tc>
        <w:tc>
          <w:tcPr>
            <w:tcW w:w="3944" w:type="pct"/>
            <w:vAlign w:val="center"/>
          </w:tcPr>
          <w:p>
            <w:pPr>
              <w:tabs>
                <w:tab w:val="left" w:pos="7513"/>
              </w:tabs>
              <w:spacing w:line="360" w:lineRule="auto"/>
              <w:jc w:val="center"/>
              <w:rPr>
                <w:rFonts w:ascii="宋体" w:hAnsi="宋体" w:cs="宋体"/>
                <w:color w:val="auto"/>
                <w:kern w:val="0"/>
                <w:sz w:val="21"/>
                <w:szCs w:val="21"/>
                <w:highlight w:val="none"/>
              </w:rPr>
            </w:pPr>
          </w:p>
        </w:tc>
      </w:tr>
    </w:tbl>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注:1.所有报价均用人民币表示。</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2.表格如不能完全表达相关内容，供应商可自行补充。</w:t>
      </w:r>
    </w:p>
    <w:p>
      <w:pPr>
        <w:spacing w:line="480" w:lineRule="auto"/>
        <w:rPr>
          <w:rFonts w:ascii="宋体" w:hAnsi="宋体"/>
          <w:color w:val="auto"/>
          <w:sz w:val="24"/>
          <w:highlight w:val="none"/>
        </w:rPr>
      </w:pPr>
    </w:p>
    <w:p>
      <w:pPr>
        <w:adjustRightIn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供应商名称（盖章）：</w:t>
      </w:r>
      <w:r>
        <w:rPr>
          <w:rFonts w:hint="eastAsia" w:ascii="宋体" w:hAnsi="宋体"/>
          <w:color w:val="auto"/>
          <w:sz w:val="24"/>
          <w:highlight w:val="none"/>
          <w:u w:val="single"/>
        </w:rPr>
        <w:t xml:space="preserve">                      </w:t>
      </w:r>
    </w:p>
    <w:p>
      <w:pPr>
        <w:adjustRightIn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法定代表人或授权代表（签字或加盖个人名章）：</w:t>
      </w:r>
      <w:r>
        <w:rPr>
          <w:rFonts w:hint="eastAsia" w:ascii="宋体" w:hAnsi="宋体"/>
          <w:color w:val="auto"/>
          <w:sz w:val="24"/>
          <w:highlight w:val="none"/>
          <w:u w:val="single"/>
        </w:rPr>
        <w:t xml:space="preserve">           </w:t>
      </w:r>
    </w:p>
    <w:p>
      <w:pPr>
        <w:spacing w:line="360" w:lineRule="auto"/>
        <w:ind w:firstLine="480" w:firstLineChars="200"/>
        <w:rPr>
          <w:rFonts w:ascii="新宋体" w:hAnsi="新宋体" w:eastAsia="新宋体"/>
          <w:color w:val="auto"/>
          <w:sz w:val="24"/>
          <w:highlight w:val="none"/>
        </w:rPr>
      </w:pPr>
      <w:r>
        <w:rPr>
          <w:rFonts w:hint="eastAsia" w:ascii="宋体" w:hAnsi="宋体"/>
          <w:color w:val="auto"/>
          <w:sz w:val="24"/>
          <w:highlight w:val="none"/>
        </w:rPr>
        <w:t>日    期：</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ascii="宋体" w:hAnsi="宋体"/>
          <w:color w:val="auto"/>
          <w:sz w:val="24"/>
          <w:highlight w:val="none"/>
        </w:rPr>
        <w:t>年</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ascii="宋体" w:hAnsi="宋体"/>
          <w:color w:val="auto"/>
          <w:sz w:val="24"/>
          <w:highlight w:val="none"/>
        </w:rPr>
        <w:t>月</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ascii="宋体" w:hAnsi="宋体"/>
          <w:color w:val="auto"/>
          <w:sz w:val="24"/>
          <w:highlight w:val="none"/>
        </w:rPr>
        <w:t>日</w:t>
      </w:r>
    </w:p>
    <w:p>
      <w:pP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br w:type="page"/>
      </w:r>
    </w:p>
    <w:p>
      <w:pPr>
        <w:pStyle w:val="5"/>
        <w:spacing w:before="0" w:after="0" w:line="360" w:lineRule="auto"/>
        <w:jc w:val="center"/>
        <w:rPr>
          <w:rStyle w:val="31"/>
          <w:b/>
          <w:bCs/>
          <w:color w:val="auto"/>
          <w:highlight w:val="none"/>
        </w:rPr>
      </w:pPr>
      <w:r>
        <w:rPr>
          <w:rStyle w:val="31"/>
          <w:rFonts w:hint="eastAsia"/>
          <w:b/>
          <w:bCs/>
          <w:color w:val="auto"/>
          <w:highlight w:val="none"/>
          <w:lang w:val="en-US" w:eastAsia="zh-CN"/>
        </w:rPr>
        <w:t>三</w:t>
      </w:r>
      <w:r>
        <w:rPr>
          <w:rStyle w:val="31"/>
          <w:rFonts w:hint="eastAsia"/>
          <w:b/>
          <w:bCs/>
          <w:color w:val="auto"/>
          <w:highlight w:val="none"/>
        </w:rPr>
        <w:t>、技术</w:t>
      </w:r>
      <w:r>
        <w:rPr>
          <w:rStyle w:val="31"/>
          <w:rFonts w:hint="eastAsia"/>
          <w:b/>
          <w:bCs/>
          <w:color w:val="auto"/>
          <w:highlight w:val="none"/>
          <w:lang w:eastAsia="zh-CN"/>
        </w:rPr>
        <w:t>、</w:t>
      </w:r>
      <w:r>
        <w:rPr>
          <w:rStyle w:val="31"/>
          <w:rFonts w:hint="eastAsia"/>
          <w:b/>
          <w:bCs/>
          <w:color w:val="auto"/>
          <w:highlight w:val="none"/>
          <w:lang w:val="en-US" w:eastAsia="zh-CN"/>
        </w:rPr>
        <w:t>服务</w:t>
      </w:r>
      <w:r>
        <w:rPr>
          <w:rStyle w:val="31"/>
          <w:rFonts w:hint="eastAsia"/>
          <w:b/>
          <w:bCs/>
          <w:color w:val="auto"/>
          <w:highlight w:val="none"/>
        </w:rPr>
        <w:t>要求应答表</w:t>
      </w:r>
    </w:p>
    <w:p>
      <w:pPr>
        <w:spacing w:line="360" w:lineRule="auto"/>
        <w:rPr>
          <w:rFonts w:hint="eastAsia" w:ascii="宋体" w:hAnsi="宋体"/>
          <w:color w:val="auto"/>
          <w:sz w:val="24"/>
          <w:highlight w:val="none"/>
        </w:rPr>
      </w:pPr>
    </w:p>
    <w:p>
      <w:pPr>
        <w:spacing w:line="360" w:lineRule="auto"/>
        <w:rPr>
          <w:rFonts w:ascii="宋体" w:hAnsi="宋体"/>
          <w:color w:val="auto"/>
          <w:sz w:val="24"/>
          <w:highlight w:val="none"/>
          <w:u w:val="single"/>
        </w:rPr>
      </w:pPr>
      <w:r>
        <w:rPr>
          <w:rFonts w:hint="eastAsia" w:ascii="宋体" w:hAnsi="宋体"/>
          <w:color w:val="auto"/>
          <w:sz w:val="24"/>
          <w:highlight w:val="none"/>
        </w:rPr>
        <w:t>项目名称：</w:t>
      </w:r>
      <w:r>
        <w:rPr>
          <w:rFonts w:hint="eastAsia" w:ascii="宋体" w:hAnsi="宋体"/>
          <w:color w:val="auto"/>
          <w:sz w:val="24"/>
          <w:highlight w:val="none"/>
          <w:u w:val="single"/>
        </w:rPr>
        <w:t xml:space="preserve">            </w:t>
      </w:r>
    </w:p>
    <w:p>
      <w:pPr>
        <w:spacing w:line="360" w:lineRule="auto"/>
        <w:rPr>
          <w:rFonts w:ascii="宋体" w:hAnsi="宋体"/>
          <w:color w:val="auto"/>
          <w:sz w:val="24"/>
          <w:highlight w:val="none"/>
          <w:u w:val="single"/>
        </w:rPr>
      </w:pPr>
      <w:r>
        <w:rPr>
          <w:rFonts w:hint="eastAsia" w:ascii="宋体" w:hAnsi="宋体"/>
          <w:color w:val="auto"/>
          <w:sz w:val="24"/>
          <w:highlight w:val="none"/>
        </w:rPr>
        <w:t>项目编号：</w:t>
      </w:r>
      <w:r>
        <w:rPr>
          <w:rFonts w:hint="eastAsia" w:ascii="宋体" w:hAnsi="宋体"/>
          <w:color w:val="auto"/>
          <w:sz w:val="24"/>
          <w:highlight w:val="none"/>
          <w:u w:val="single"/>
        </w:rPr>
        <w:t xml:space="preserve">            </w:t>
      </w:r>
    </w:p>
    <w:tbl>
      <w:tblPr>
        <w:tblStyle w:val="20"/>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
        <w:gridCol w:w="2121"/>
        <w:gridCol w:w="2121"/>
        <w:gridCol w:w="2121"/>
        <w:gridCol w:w="21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pct"/>
            <w:vAlign w:val="center"/>
          </w:tcPr>
          <w:p>
            <w:pPr>
              <w:spacing w:line="480" w:lineRule="auto"/>
              <w:jc w:val="center"/>
              <w:rPr>
                <w:rFonts w:ascii="宋体" w:hAnsi="宋体"/>
                <w:color w:val="auto"/>
                <w:sz w:val="21"/>
                <w:szCs w:val="21"/>
                <w:highlight w:val="none"/>
              </w:rPr>
            </w:pPr>
            <w:r>
              <w:rPr>
                <w:rFonts w:hint="eastAsia" w:ascii="宋体" w:hAnsi="宋体"/>
                <w:color w:val="auto"/>
                <w:sz w:val="21"/>
                <w:szCs w:val="21"/>
                <w:highlight w:val="none"/>
              </w:rPr>
              <w:t>序号</w:t>
            </w:r>
          </w:p>
        </w:tc>
        <w:tc>
          <w:tcPr>
            <w:tcW w:w="1135" w:type="pct"/>
            <w:vAlign w:val="center"/>
          </w:tcPr>
          <w:p>
            <w:pPr>
              <w:spacing w:line="480" w:lineRule="auto"/>
              <w:jc w:val="center"/>
              <w:rPr>
                <w:rFonts w:ascii="宋体" w:hAnsi="宋体"/>
                <w:color w:val="auto"/>
                <w:sz w:val="21"/>
                <w:szCs w:val="21"/>
                <w:highlight w:val="none"/>
              </w:rPr>
            </w:pPr>
            <w:r>
              <w:rPr>
                <w:rFonts w:hint="eastAsia" w:ascii="宋体" w:hAnsi="宋体"/>
                <w:color w:val="auto"/>
                <w:sz w:val="21"/>
                <w:szCs w:val="21"/>
                <w:highlight w:val="none"/>
              </w:rPr>
              <w:t>磋商文件条目号</w:t>
            </w:r>
          </w:p>
        </w:tc>
        <w:tc>
          <w:tcPr>
            <w:tcW w:w="1135" w:type="pct"/>
            <w:vAlign w:val="center"/>
          </w:tcPr>
          <w:p>
            <w:pPr>
              <w:spacing w:line="480" w:lineRule="auto"/>
              <w:jc w:val="center"/>
              <w:rPr>
                <w:rFonts w:ascii="宋体" w:hAnsi="宋体"/>
                <w:color w:val="auto"/>
                <w:sz w:val="21"/>
                <w:szCs w:val="21"/>
                <w:highlight w:val="none"/>
              </w:rPr>
            </w:pPr>
            <w:r>
              <w:rPr>
                <w:rFonts w:hint="eastAsia" w:ascii="宋体" w:hAnsi="宋体"/>
                <w:color w:val="auto"/>
                <w:sz w:val="21"/>
                <w:szCs w:val="21"/>
                <w:highlight w:val="none"/>
              </w:rPr>
              <w:t>磋商文件要求</w:t>
            </w:r>
          </w:p>
        </w:tc>
        <w:tc>
          <w:tcPr>
            <w:tcW w:w="1135" w:type="pct"/>
            <w:vAlign w:val="center"/>
          </w:tcPr>
          <w:p>
            <w:pPr>
              <w:spacing w:line="480" w:lineRule="auto"/>
              <w:jc w:val="center"/>
              <w:rPr>
                <w:rFonts w:ascii="宋体" w:hAnsi="宋体"/>
                <w:color w:val="auto"/>
                <w:sz w:val="21"/>
                <w:szCs w:val="21"/>
                <w:highlight w:val="none"/>
              </w:rPr>
            </w:pPr>
            <w:r>
              <w:rPr>
                <w:rFonts w:hint="eastAsia" w:ascii="宋体" w:hAnsi="宋体"/>
                <w:color w:val="auto"/>
                <w:sz w:val="21"/>
                <w:szCs w:val="21"/>
                <w:highlight w:val="none"/>
              </w:rPr>
              <w:t>响应文件应答</w:t>
            </w:r>
          </w:p>
        </w:tc>
        <w:tc>
          <w:tcPr>
            <w:tcW w:w="1136" w:type="pct"/>
            <w:vAlign w:val="center"/>
          </w:tcPr>
          <w:p>
            <w:pPr>
              <w:spacing w:line="480" w:lineRule="auto"/>
              <w:jc w:val="center"/>
              <w:rPr>
                <w:rFonts w:ascii="宋体" w:hAnsi="宋体"/>
                <w:color w:val="auto"/>
                <w:sz w:val="21"/>
                <w:szCs w:val="21"/>
                <w:highlight w:val="none"/>
              </w:rPr>
            </w:pPr>
            <w:r>
              <w:rPr>
                <w:rFonts w:hint="eastAsia" w:ascii="宋体" w:hAnsi="宋体"/>
                <w:color w:val="auto"/>
                <w:sz w:val="21"/>
                <w:szCs w:val="21"/>
                <w:highlight w:val="none"/>
              </w:rPr>
              <w:t>偏离情况（正偏离或负偏离或无偏离）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pct"/>
          </w:tcPr>
          <w:p>
            <w:pPr>
              <w:spacing w:line="480" w:lineRule="auto"/>
              <w:jc w:val="center"/>
              <w:rPr>
                <w:rFonts w:ascii="宋体" w:hAnsi="宋体"/>
                <w:color w:val="auto"/>
                <w:sz w:val="21"/>
                <w:szCs w:val="21"/>
                <w:highlight w:val="none"/>
              </w:rPr>
            </w:pPr>
          </w:p>
        </w:tc>
        <w:tc>
          <w:tcPr>
            <w:tcW w:w="1135" w:type="pct"/>
          </w:tcPr>
          <w:p>
            <w:pPr>
              <w:spacing w:line="480" w:lineRule="auto"/>
              <w:jc w:val="center"/>
              <w:rPr>
                <w:rFonts w:ascii="宋体" w:hAnsi="宋体"/>
                <w:color w:val="auto"/>
                <w:sz w:val="21"/>
                <w:szCs w:val="21"/>
                <w:highlight w:val="none"/>
              </w:rPr>
            </w:pPr>
          </w:p>
        </w:tc>
        <w:tc>
          <w:tcPr>
            <w:tcW w:w="1135" w:type="pct"/>
          </w:tcPr>
          <w:p>
            <w:pPr>
              <w:spacing w:line="480" w:lineRule="auto"/>
              <w:jc w:val="center"/>
              <w:rPr>
                <w:rFonts w:ascii="宋体" w:hAnsi="宋体"/>
                <w:color w:val="auto"/>
                <w:sz w:val="21"/>
                <w:szCs w:val="21"/>
                <w:highlight w:val="none"/>
              </w:rPr>
            </w:pPr>
          </w:p>
        </w:tc>
        <w:tc>
          <w:tcPr>
            <w:tcW w:w="1135" w:type="pct"/>
          </w:tcPr>
          <w:p>
            <w:pPr>
              <w:spacing w:line="480" w:lineRule="auto"/>
              <w:jc w:val="center"/>
              <w:rPr>
                <w:rFonts w:ascii="宋体" w:hAnsi="宋体"/>
                <w:color w:val="auto"/>
                <w:sz w:val="21"/>
                <w:szCs w:val="21"/>
                <w:highlight w:val="none"/>
              </w:rPr>
            </w:pPr>
          </w:p>
        </w:tc>
        <w:tc>
          <w:tcPr>
            <w:tcW w:w="1136" w:type="pct"/>
          </w:tcPr>
          <w:p>
            <w:pPr>
              <w:spacing w:line="480" w:lineRule="auto"/>
              <w:jc w:val="center"/>
              <w:rPr>
                <w:rFonts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pct"/>
          </w:tcPr>
          <w:p>
            <w:pPr>
              <w:spacing w:line="480" w:lineRule="auto"/>
              <w:jc w:val="center"/>
              <w:rPr>
                <w:rFonts w:ascii="宋体" w:hAnsi="宋体"/>
                <w:color w:val="auto"/>
                <w:sz w:val="21"/>
                <w:szCs w:val="21"/>
                <w:highlight w:val="none"/>
              </w:rPr>
            </w:pPr>
          </w:p>
        </w:tc>
        <w:tc>
          <w:tcPr>
            <w:tcW w:w="1135" w:type="pct"/>
          </w:tcPr>
          <w:p>
            <w:pPr>
              <w:spacing w:line="480" w:lineRule="auto"/>
              <w:jc w:val="center"/>
              <w:rPr>
                <w:rFonts w:ascii="宋体" w:hAnsi="宋体"/>
                <w:color w:val="auto"/>
                <w:sz w:val="21"/>
                <w:szCs w:val="21"/>
                <w:highlight w:val="none"/>
              </w:rPr>
            </w:pPr>
          </w:p>
        </w:tc>
        <w:tc>
          <w:tcPr>
            <w:tcW w:w="1135" w:type="pct"/>
          </w:tcPr>
          <w:p>
            <w:pPr>
              <w:spacing w:line="480" w:lineRule="auto"/>
              <w:jc w:val="center"/>
              <w:rPr>
                <w:rFonts w:ascii="宋体" w:hAnsi="宋体"/>
                <w:color w:val="auto"/>
                <w:sz w:val="21"/>
                <w:szCs w:val="21"/>
                <w:highlight w:val="none"/>
              </w:rPr>
            </w:pPr>
          </w:p>
        </w:tc>
        <w:tc>
          <w:tcPr>
            <w:tcW w:w="1135" w:type="pct"/>
          </w:tcPr>
          <w:p>
            <w:pPr>
              <w:spacing w:line="480" w:lineRule="auto"/>
              <w:jc w:val="center"/>
              <w:rPr>
                <w:rFonts w:ascii="宋体" w:hAnsi="宋体"/>
                <w:color w:val="auto"/>
                <w:sz w:val="21"/>
                <w:szCs w:val="21"/>
                <w:highlight w:val="none"/>
              </w:rPr>
            </w:pPr>
          </w:p>
        </w:tc>
        <w:tc>
          <w:tcPr>
            <w:tcW w:w="1136" w:type="pct"/>
          </w:tcPr>
          <w:p>
            <w:pPr>
              <w:spacing w:line="480" w:lineRule="auto"/>
              <w:jc w:val="center"/>
              <w:rPr>
                <w:rFonts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pct"/>
          </w:tcPr>
          <w:p>
            <w:pPr>
              <w:spacing w:line="480" w:lineRule="auto"/>
              <w:jc w:val="center"/>
              <w:rPr>
                <w:rFonts w:ascii="宋体" w:hAnsi="宋体"/>
                <w:color w:val="auto"/>
                <w:sz w:val="21"/>
                <w:szCs w:val="21"/>
                <w:highlight w:val="none"/>
              </w:rPr>
            </w:pPr>
          </w:p>
        </w:tc>
        <w:tc>
          <w:tcPr>
            <w:tcW w:w="1135" w:type="pct"/>
          </w:tcPr>
          <w:p>
            <w:pPr>
              <w:spacing w:line="480" w:lineRule="auto"/>
              <w:jc w:val="center"/>
              <w:rPr>
                <w:rFonts w:ascii="宋体" w:hAnsi="宋体"/>
                <w:color w:val="auto"/>
                <w:sz w:val="21"/>
                <w:szCs w:val="21"/>
                <w:highlight w:val="none"/>
              </w:rPr>
            </w:pPr>
          </w:p>
        </w:tc>
        <w:tc>
          <w:tcPr>
            <w:tcW w:w="1135" w:type="pct"/>
          </w:tcPr>
          <w:p>
            <w:pPr>
              <w:spacing w:line="480" w:lineRule="auto"/>
              <w:jc w:val="center"/>
              <w:rPr>
                <w:rFonts w:ascii="宋体" w:hAnsi="宋体"/>
                <w:color w:val="auto"/>
                <w:sz w:val="21"/>
                <w:szCs w:val="21"/>
                <w:highlight w:val="none"/>
              </w:rPr>
            </w:pPr>
          </w:p>
        </w:tc>
        <w:tc>
          <w:tcPr>
            <w:tcW w:w="1135" w:type="pct"/>
          </w:tcPr>
          <w:p>
            <w:pPr>
              <w:spacing w:line="480" w:lineRule="auto"/>
              <w:jc w:val="center"/>
              <w:rPr>
                <w:rFonts w:ascii="宋体" w:hAnsi="宋体"/>
                <w:color w:val="auto"/>
                <w:sz w:val="21"/>
                <w:szCs w:val="21"/>
                <w:highlight w:val="none"/>
              </w:rPr>
            </w:pPr>
          </w:p>
        </w:tc>
        <w:tc>
          <w:tcPr>
            <w:tcW w:w="1136" w:type="pct"/>
          </w:tcPr>
          <w:p>
            <w:pPr>
              <w:spacing w:line="480" w:lineRule="auto"/>
              <w:jc w:val="center"/>
              <w:rPr>
                <w:rFonts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pct"/>
          </w:tcPr>
          <w:p>
            <w:pPr>
              <w:spacing w:line="480" w:lineRule="auto"/>
              <w:jc w:val="center"/>
              <w:rPr>
                <w:rFonts w:ascii="宋体" w:hAnsi="宋体"/>
                <w:color w:val="auto"/>
                <w:sz w:val="21"/>
                <w:szCs w:val="21"/>
                <w:highlight w:val="none"/>
              </w:rPr>
            </w:pPr>
          </w:p>
        </w:tc>
        <w:tc>
          <w:tcPr>
            <w:tcW w:w="1135" w:type="pct"/>
          </w:tcPr>
          <w:p>
            <w:pPr>
              <w:spacing w:line="480" w:lineRule="auto"/>
              <w:jc w:val="center"/>
              <w:rPr>
                <w:rFonts w:ascii="宋体" w:hAnsi="宋体"/>
                <w:color w:val="auto"/>
                <w:sz w:val="21"/>
                <w:szCs w:val="21"/>
                <w:highlight w:val="none"/>
              </w:rPr>
            </w:pPr>
          </w:p>
        </w:tc>
        <w:tc>
          <w:tcPr>
            <w:tcW w:w="1135" w:type="pct"/>
          </w:tcPr>
          <w:p>
            <w:pPr>
              <w:spacing w:line="480" w:lineRule="auto"/>
              <w:jc w:val="center"/>
              <w:rPr>
                <w:rFonts w:ascii="宋体" w:hAnsi="宋体"/>
                <w:color w:val="auto"/>
                <w:sz w:val="21"/>
                <w:szCs w:val="21"/>
                <w:highlight w:val="none"/>
              </w:rPr>
            </w:pPr>
          </w:p>
        </w:tc>
        <w:tc>
          <w:tcPr>
            <w:tcW w:w="1135" w:type="pct"/>
          </w:tcPr>
          <w:p>
            <w:pPr>
              <w:spacing w:line="480" w:lineRule="auto"/>
              <w:jc w:val="center"/>
              <w:rPr>
                <w:rFonts w:ascii="宋体" w:hAnsi="宋体"/>
                <w:color w:val="auto"/>
                <w:sz w:val="21"/>
                <w:szCs w:val="21"/>
                <w:highlight w:val="none"/>
              </w:rPr>
            </w:pPr>
          </w:p>
        </w:tc>
        <w:tc>
          <w:tcPr>
            <w:tcW w:w="1136" w:type="pct"/>
          </w:tcPr>
          <w:p>
            <w:pPr>
              <w:spacing w:line="480" w:lineRule="auto"/>
              <w:jc w:val="center"/>
              <w:rPr>
                <w:rFonts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pct"/>
          </w:tcPr>
          <w:p>
            <w:pPr>
              <w:spacing w:line="480" w:lineRule="auto"/>
              <w:jc w:val="center"/>
              <w:rPr>
                <w:rFonts w:ascii="宋体" w:hAnsi="宋体"/>
                <w:color w:val="auto"/>
                <w:sz w:val="21"/>
                <w:szCs w:val="21"/>
                <w:highlight w:val="none"/>
              </w:rPr>
            </w:pPr>
          </w:p>
        </w:tc>
        <w:tc>
          <w:tcPr>
            <w:tcW w:w="1135" w:type="pct"/>
          </w:tcPr>
          <w:p>
            <w:pPr>
              <w:spacing w:line="480" w:lineRule="auto"/>
              <w:jc w:val="center"/>
              <w:rPr>
                <w:rFonts w:ascii="宋体" w:hAnsi="宋体"/>
                <w:color w:val="auto"/>
                <w:sz w:val="21"/>
                <w:szCs w:val="21"/>
                <w:highlight w:val="none"/>
              </w:rPr>
            </w:pPr>
          </w:p>
        </w:tc>
        <w:tc>
          <w:tcPr>
            <w:tcW w:w="1135" w:type="pct"/>
          </w:tcPr>
          <w:p>
            <w:pPr>
              <w:spacing w:line="480" w:lineRule="auto"/>
              <w:jc w:val="center"/>
              <w:rPr>
                <w:rFonts w:ascii="宋体" w:hAnsi="宋体"/>
                <w:color w:val="auto"/>
                <w:sz w:val="21"/>
                <w:szCs w:val="21"/>
                <w:highlight w:val="none"/>
              </w:rPr>
            </w:pPr>
          </w:p>
        </w:tc>
        <w:tc>
          <w:tcPr>
            <w:tcW w:w="1135" w:type="pct"/>
          </w:tcPr>
          <w:p>
            <w:pPr>
              <w:spacing w:line="480" w:lineRule="auto"/>
              <w:jc w:val="center"/>
              <w:rPr>
                <w:rFonts w:ascii="宋体" w:hAnsi="宋体"/>
                <w:color w:val="auto"/>
                <w:sz w:val="21"/>
                <w:szCs w:val="21"/>
                <w:highlight w:val="none"/>
              </w:rPr>
            </w:pPr>
          </w:p>
        </w:tc>
        <w:tc>
          <w:tcPr>
            <w:tcW w:w="1136" w:type="pct"/>
          </w:tcPr>
          <w:p>
            <w:pPr>
              <w:spacing w:line="480" w:lineRule="auto"/>
              <w:jc w:val="center"/>
              <w:rPr>
                <w:rFonts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pct"/>
          </w:tcPr>
          <w:p>
            <w:pPr>
              <w:spacing w:line="480" w:lineRule="auto"/>
              <w:jc w:val="center"/>
              <w:rPr>
                <w:rFonts w:ascii="宋体" w:hAnsi="宋体"/>
                <w:color w:val="auto"/>
                <w:sz w:val="21"/>
                <w:szCs w:val="21"/>
                <w:highlight w:val="none"/>
              </w:rPr>
            </w:pPr>
          </w:p>
        </w:tc>
        <w:tc>
          <w:tcPr>
            <w:tcW w:w="1135" w:type="pct"/>
          </w:tcPr>
          <w:p>
            <w:pPr>
              <w:spacing w:line="480" w:lineRule="auto"/>
              <w:jc w:val="center"/>
              <w:rPr>
                <w:rFonts w:ascii="宋体" w:hAnsi="宋体"/>
                <w:color w:val="auto"/>
                <w:sz w:val="21"/>
                <w:szCs w:val="21"/>
                <w:highlight w:val="none"/>
              </w:rPr>
            </w:pPr>
          </w:p>
        </w:tc>
        <w:tc>
          <w:tcPr>
            <w:tcW w:w="1135" w:type="pct"/>
          </w:tcPr>
          <w:p>
            <w:pPr>
              <w:spacing w:line="480" w:lineRule="auto"/>
              <w:jc w:val="center"/>
              <w:rPr>
                <w:rFonts w:ascii="宋体" w:hAnsi="宋体"/>
                <w:color w:val="auto"/>
                <w:sz w:val="21"/>
                <w:szCs w:val="21"/>
                <w:highlight w:val="none"/>
              </w:rPr>
            </w:pPr>
          </w:p>
        </w:tc>
        <w:tc>
          <w:tcPr>
            <w:tcW w:w="1135" w:type="pct"/>
          </w:tcPr>
          <w:p>
            <w:pPr>
              <w:spacing w:line="480" w:lineRule="auto"/>
              <w:jc w:val="center"/>
              <w:rPr>
                <w:rFonts w:ascii="宋体" w:hAnsi="宋体"/>
                <w:color w:val="auto"/>
                <w:sz w:val="21"/>
                <w:szCs w:val="21"/>
                <w:highlight w:val="none"/>
              </w:rPr>
            </w:pPr>
          </w:p>
        </w:tc>
        <w:tc>
          <w:tcPr>
            <w:tcW w:w="1136" w:type="pct"/>
          </w:tcPr>
          <w:p>
            <w:pPr>
              <w:spacing w:line="480" w:lineRule="auto"/>
              <w:jc w:val="center"/>
              <w:rPr>
                <w:rFonts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pct"/>
          </w:tcPr>
          <w:p>
            <w:pPr>
              <w:spacing w:line="480" w:lineRule="auto"/>
              <w:jc w:val="center"/>
              <w:rPr>
                <w:rFonts w:ascii="宋体" w:hAnsi="宋体"/>
                <w:color w:val="auto"/>
                <w:sz w:val="21"/>
                <w:szCs w:val="21"/>
                <w:highlight w:val="none"/>
              </w:rPr>
            </w:pPr>
          </w:p>
        </w:tc>
        <w:tc>
          <w:tcPr>
            <w:tcW w:w="1135" w:type="pct"/>
          </w:tcPr>
          <w:p>
            <w:pPr>
              <w:spacing w:line="480" w:lineRule="auto"/>
              <w:jc w:val="center"/>
              <w:rPr>
                <w:rFonts w:ascii="宋体" w:hAnsi="宋体"/>
                <w:color w:val="auto"/>
                <w:sz w:val="21"/>
                <w:szCs w:val="21"/>
                <w:highlight w:val="none"/>
              </w:rPr>
            </w:pPr>
          </w:p>
        </w:tc>
        <w:tc>
          <w:tcPr>
            <w:tcW w:w="1135" w:type="pct"/>
          </w:tcPr>
          <w:p>
            <w:pPr>
              <w:spacing w:line="480" w:lineRule="auto"/>
              <w:jc w:val="center"/>
              <w:rPr>
                <w:rFonts w:ascii="宋体" w:hAnsi="宋体"/>
                <w:color w:val="auto"/>
                <w:sz w:val="21"/>
                <w:szCs w:val="21"/>
                <w:highlight w:val="none"/>
              </w:rPr>
            </w:pPr>
          </w:p>
        </w:tc>
        <w:tc>
          <w:tcPr>
            <w:tcW w:w="1135" w:type="pct"/>
          </w:tcPr>
          <w:p>
            <w:pPr>
              <w:spacing w:line="480" w:lineRule="auto"/>
              <w:jc w:val="center"/>
              <w:rPr>
                <w:rFonts w:ascii="宋体" w:hAnsi="宋体"/>
                <w:color w:val="auto"/>
                <w:sz w:val="21"/>
                <w:szCs w:val="21"/>
                <w:highlight w:val="none"/>
              </w:rPr>
            </w:pPr>
          </w:p>
        </w:tc>
        <w:tc>
          <w:tcPr>
            <w:tcW w:w="1136" w:type="pct"/>
          </w:tcPr>
          <w:p>
            <w:pPr>
              <w:spacing w:line="480" w:lineRule="auto"/>
              <w:jc w:val="center"/>
              <w:rPr>
                <w:rFonts w:ascii="宋体" w:hAnsi="宋体"/>
                <w:color w:val="auto"/>
                <w:sz w:val="21"/>
                <w:szCs w:val="21"/>
                <w:highlight w:val="none"/>
              </w:rPr>
            </w:pPr>
          </w:p>
        </w:tc>
      </w:tr>
    </w:tbl>
    <w:p>
      <w:pPr>
        <w:widowControl/>
        <w:spacing w:line="360" w:lineRule="auto"/>
        <w:ind w:firstLine="482" w:firstLineChars="200"/>
        <w:jc w:val="left"/>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注：1.</w:t>
      </w:r>
      <w:r>
        <w:rPr>
          <w:rFonts w:hint="eastAsia" w:asciiTheme="minorEastAsia" w:hAnsiTheme="minorEastAsia" w:eastAsiaTheme="minorEastAsia" w:cstheme="minorEastAsia"/>
          <w:b/>
          <w:bCs/>
          <w:color w:val="auto"/>
          <w:sz w:val="24"/>
          <w:highlight w:val="none"/>
          <w:lang w:val="en-US" w:eastAsia="zh-CN"/>
        </w:rPr>
        <w:t>供应商按照磋商</w:t>
      </w:r>
      <w:r>
        <w:rPr>
          <w:rFonts w:hint="eastAsia" w:asciiTheme="minorEastAsia" w:hAnsiTheme="minorEastAsia" w:eastAsiaTheme="minorEastAsia" w:cstheme="minorEastAsia"/>
          <w:b/>
          <w:bCs/>
          <w:color w:val="auto"/>
          <w:sz w:val="24"/>
          <w:highlight w:val="none"/>
        </w:rPr>
        <w:t>文件第</w:t>
      </w:r>
      <w:r>
        <w:rPr>
          <w:rFonts w:hint="eastAsia" w:asciiTheme="minorEastAsia" w:hAnsiTheme="minorEastAsia" w:eastAsiaTheme="minorEastAsia" w:cstheme="minorEastAsia"/>
          <w:b/>
          <w:bCs/>
          <w:color w:val="auto"/>
          <w:sz w:val="24"/>
          <w:highlight w:val="none"/>
          <w:lang w:val="en-US" w:eastAsia="zh-CN"/>
        </w:rPr>
        <w:t>五</w:t>
      </w:r>
      <w:r>
        <w:rPr>
          <w:rFonts w:hint="eastAsia" w:asciiTheme="minorEastAsia" w:hAnsiTheme="minorEastAsia" w:eastAsiaTheme="minorEastAsia" w:cstheme="minorEastAsia"/>
          <w:b/>
          <w:bCs/>
          <w:color w:val="auto"/>
          <w:sz w:val="24"/>
          <w:highlight w:val="none"/>
        </w:rPr>
        <w:t>章“项目内容及要求”全部列入此表进行应答。</w:t>
      </w:r>
    </w:p>
    <w:p>
      <w:pPr>
        <w:widowControl/>
        <w:spacing w:line="360" w:lineRule="auto"/>
        <w:ind w:firstLine="482" w:firstLineChars="200"/>
        <w:jc w:val="left"/>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2．按照</w:t>
      </w:r>
      <w:r>
        <w:rPr>
          <w:rFonts w:hint="eastAsia" w:asciiTheme="minorEastAsia" w:hAnsiTheme="minorEastAsia" w:eastAsiaTheme="minorEastAsia" w:cstheme="minorEastAsia"/>
          <w:b/>
          <w:bCs/>
          <w:color w:val="auto"/>
          <w:sz w:val="24"/>
          <w:highlight w:val="none"/>
          <w:lang w:val="en-US" w:eastAsia="zh-CN"/>
        </w:rPr>
        <w:t>采购</w:t>
      </w:r>
      <w:r>
        <w:rPr>
          <w:rFonts w:hint="eastAsia" w:asciiTheme="minorEastAsia" w:hAnsiTheme="minorEastAsia" w:eastAsiaTheme="minorEastAsia" w:cstheme="minorEastAsia"/>
          <w:b/>
          <w:bCs/>
          <w:color w:val="auto"/>
          <w:sz w:val="24"/>
          <w:highlight w:val="none"/>
        </w:rPr>
        <w:t>项目“项目内容及要求”的顺序逐条对应填写。</w:t>
      </w:r>
    </w:p>
    <w:p>
      <w:pPr>
        <w:widowControl/>
        <w:spacing w:line="360" w:lineRule="auto"/>
        <w:ind w:firstLine="482" w:firstLineChars="200"/>
        <w:jc w:val="left"/>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3．</w:t>
      </w:r>
      <w:r>
        <w:rPr>
          <w:rFonts w:hint="eastAsia" w:asciiTheme="minorEastAsia" w:hAnsiTheme="minorEastAsia" w:eastAsiaTheme="minorEastAsia" w:cstheme="minorEastAsia"/>
          <w:b/>
          <w:bCs/>
          <w:color w:val="auto"/>
          <w:sz w:val="24"/>
          <w:highlight w:val="none"/>
          <w:lang w:val="en-US" w:eastAsia="zh-CN"/>
        </w:rPr>
        <w:t>供应商</w:t>
      </w:r>
      <w:r>
        <w:rPr>
          <w:rFonts w:hint="eastAsia" w:asciiTheme="minorEastAsia" w:hAnsiTheme="minorEastAsia" w:eastAsiaTheme="minorEastAsia" w:cstheme="minorEastAsia"/>
          <w:b/>
          <w:bCs/>
          <w:color w:val="auto"/>
          <w:sz w:val="24"/>
          <w:highlight w:val="none"/>
        </w:rPr>
        <w:t>必须据实填写，不得虚假填写，否则将取消其</w:t>
      </w:r>
      <w:r>
        <w:rPr>
          <w:rFonts w:hint="eastAsia" w:asciiTheme="minorEastAsia" w:hAnsiTheme="minorEastAsia" w:eastAsiaTheme="minorEastAsia" w:cstheme="minorEastAsia"/>
          <w:b/>
          <w:bCs/>
          <w:color w:val="auto"/>
          <w:sz w:val="24"/>
          <w:highlight w:val="none"/>
          <w:lang w:val="en-US" w:eastAsia="zh-CN"/>
        </w:rPr>
        <w:t>磋商</w:t>
      </w:r>
      <w:r>
        <w:rPr>
          <w:rFonts w:hint="eastAsia" w:asciiTheme="minorEastAsia" w:hAnsiTheme="minorEastAsia" w:eastAsiaTheme="minorEastAsia" w:cstheme="minorEastAsia"/>
          <w:b/>
          <w:bCs/>
          <w:color w:val="auto"/>
          <w:sz w:val="24"/>
          <w:highlight w:val="none"/>
        </w:rPr>
        <w:t>或</w:t>
      </w:r>
      <w:r>
        <w:rPr>
          <w:rFonts w:hint="eastAsia" w:asciiTheme="minorEastAsia" w:hAnsiTheme="minorEastAsia" w:eastAsiaTheme="minorEastAsia" w:cstheme="minorEastAsia"/>
          <w:b/>
          <w:bCs/>
          <w:color w:val="auto"/>
          <w:sz w:val="24"/>
          <w:highlight w:val="none"/>
          <w:lang w:val="en-US" w:eastAsia="zh-CN"/>
        </w:rPr>
        <w:t>成交</w:t>
      </w:r>
      <w:r>
        <w:rPr>
          <w:rFonts w:hint="eastAsia" w:asciiTheme="minorEastAsia" w:hAnsiTheme="minorEastAsia" w:eastAsiaTheme="minorEastAsia" w:cstheme="minorEastAsia"/>
          <w:b/>
          <w:bCs/>
          <w:color w:val="auto"/>
          <w:sz w:val="24"/>
          <w:highlight w:val="none"/>
        </w:rPr>
        <w:t>资格。</w:t>
      </w:r>
    </w:p>
    <w:p>
      <w:pPr>
        <w:adjustRightInd w:val="0"/>
        <w:spacing w:line="480" w:lineRule="auto"/>
        <w:ind w:firstLine="480" w:firstLineChars="200"/>
        <w:jc w:val="left"/>
        <w:rPr>
          <w:rFonts w:ascii="新宋体" w:hAnsi="新宋体" w:eastAsia="新宋体"/>
          <w:color w:val="auto"/>
          <w:sz w:val="24"/>
          <w:highlight w:val="none"/>
        </w:rPr>
      </w:pPr>
    </w:p>
    <w:p>
      <w:pPr>
        <w:adjustRightIn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供应商名称（盖章）：</w:t>
      </w:r>
      <w:r>
        <w:rPr>
          <w:rFonts w:hint="eastAsia" w:ascii="宋体" w:hAnsi="宋体"/>
          <w:color w:val="auto"/>
          <w:sz w:val="24"/>
          <w:highlight w:val="none"/>
          <w:u w:val="single"/>
        </w:rPr>
        <w:t xml:space="preserve">                      </w:t>
      </w:r>
    </w:p>
    <w:p>
      <w:pPr>
        <w:adjustRightIn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法定代表人或授权代表（签字或加盖个人名章）：</w:t>
      </w:r>
      <w:r>
        <w:rPr>
          <w:rFonts w:hint="eastAsia" w:ascii="宋体" w:hAnsi="宋体"/>
          <w:color w:val="auto"/>
          <w:sz w:val="24"/>
          <w:highlight w:val="none"/>
          <w:u w:val="single"/>
        </w:rPr>
        <w:t xml:space="preserve">           </w:t>
      </w:r>
    </w:p>
    <w:p>
      <w:pPr>
        <w:spacing w:line="360" w:lineRule="auto"/>
        <w:ind w:firstLine="480" w:firstLineChars="200"/>
        <w:rPr>
          <w:rFonts w:ascii="新宋体" w:hAnsi="新宋体" w:eastAsia="新宋体"/>
          <w:color w:val="auto"/>
          <w:sz w:val="24"/>
          <w:highlight w:val="none"/>
        </w:rPr>
      </w:pPr>
      <w:r>
        <w:rPr>
          <w:rFonts w:hint="eastAsia" w:ascii="宋体" w:hAnsi="宋体"/>
          <w:color w:val="auto"/>
          <w:sz w:val="24"/>
          <w:highlight w:val="none"/>
        </w:rPr>
        <w:t>日    期：</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ascii="宋体" w:hAnsi="宋体"/>
          <w:color w:val="auto"/>
          <w:sz w:val="24"/>
          <w:highlight w:val="none"/>
        </w:rPr>
        <w:t>年</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ascii="宋体" w:hAnsi="宋体"/>
          <w:color w:val="auto"/>
          <w:sz w:val="24"/>
          <w:highlight w:val="none"/>
        </w:rPr>
        <w:t>月</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ascii="宋体" w:hAnsi="宋体"/>
          <w:color w:val="auto"/>
          <w:sz w:val="24"/>
          <w:highlight w:val="none"/>
        </w:rPr>
        <w:t>日</w:t>
      </w:r>
    </w:p>
    <w:p>
      <w:pPr>
        <w:pStyle w:val="5"/>
        <w:spacing w:before="0" w:after="0" w:line="360" w:lineRule="auto"/>
        <w:jc w:val="center"/>
        <w:rPr>
          <w:color w:val="auto"/>
          <w:highlight w:val="none"/>
        </w:rPr>
        <w:sectPr>
          <w:footerReference r:id="rId10" w:type="default"/>
          <w:pgSz w:w="11850" w:h="16783"/>
          <w:pgMar w:top="1440" w:right="1304" w:bottom="1440" w:left="1417" w:header="851" w:footer="992" w:gutter="0"/>
          <w:pgNumType w:fmt="numberInDash"/>
          <w:cols w:space="0" w:num="1"/>
          <w:docGrid w:type="lines" w:linePitch="312" w:charSpace="0"/>
        </w:sectPr>
      </w:pPr>
    </w:p>
    <w:p>
      <w:pPr>
        <w:pStyle w:val="5"/>
        <w:spacing w:before="0" w:after="0" w:line="360" w:lineRule="auto"/>
        <w:jc w:val="center"/>
        <w:rPr>
          <w:rStyle w:val="31"/>
          <w:b/>
          <w:bCs/>
          <w:color w:val="auto"/>
          <w:highlight w:val="none"/>
        </w:rPr>
      </w:pPr>
      <w:r>
        <w:rPr>
          <w:rStyle w:val="31"/>
          <w:rFonts w:hint="eastAsia"/>
          <w:b/>
          <w:bCs/>
          <w:color w:val="auto"/>
          <w:highlight w:val="none"/>
          <w:lang w:val="en-US" w:eastAsia="zh-CN"/>
        </w:rPr>
        <w:t>四</w:t>
      </w:r>
      <w:r>
        <w:rPr>
          <w:rStyle w:val="31"/>
          <w:rFonts w:hint="eastAsia"/>
          <w:b/>
          <w:bCs/>
          <w:color w:val="auto"/>
          <w:highlight w:val="none"/>
        </w:rPr>
        <w:t>、商务要求应答表</w:t>
      </w:r>
    </w:p>
    <w:p>
      <w:pPr>
        <w:rPr>
          <w:color w:val="auto"/>
          <w:highlight w:val="none"/>
        </w:rPr>
      </w:pPr>
    </w:p>
    <w:p>
      <w:pPr>
        <w:spacing w:line="360" w:lineRule="auto"/>
        <w:rPr>
          <w:rFonts w:ascii="宋体" w:hAnsi="宋体"/>
          <w:color w:val="auto"/>
          <w:sz w:val="24"/>
          <w:highlight w:val="none"/>
          <w:u w:val="single"/>
        </w:rPr>
      </w:pPr>
      <w:r>
        <w:rPr>
          <w:rFonts w:hint="eastAsia" w:ascii="宋体" w:hAnsi="宋体"/>
          <w:color w:val="auto"/>
          <w:sz w:val="24"/>
          <w:highlight w:val="none"/>
        </w:rPr>
        <w:t>项目名称：</w:t>
      </w:r>
      <w:r>
        <w:rPr>
          <w:rFonts w:hint="eastAsia" w:ascii="宋体" w:hAnsi="宋体"/>
          <w:color w:val="auto"/>
          <w:sz w:val="24"/>
          <w:highlight w:val="none"/>
          <w:u w:val="single"/>
        </w:rPr>
        <w:t xml:space="preserve">            </w:t>
      </w:r>
    </w:p>
    <w:p>
      <w:pPr>
        <w:spacing w:line="360" w:lineRule="auto"/>
        <w:rPr>
          <w:rFonts w:ascii="宋体" w:hAnsi="宋体"/>
          <w:color w:val="auto"/>
          <w:sz w:val="24"/>
          <w:highlight w:val="none"/>
          <w:u w:val="single"/>
        </w:rPr>
      </w:pPr>
      <w:r>
        <w:rPr>
          <w:rFonts w:hint="eastAsia" w:ascii="宋体" w:hAnsi="宋体"/>
          <w:color w:val="auto"/>
          <w:sz w:val="24"/>
          <w:highlight w:val="none"/>
        </w:rPr>
        <w:t>项目编号：</w:t>
      </w:r>
      <w:r>
        <w:rPr>
          <w:rFonts w:hint="eastAsia" w:ascii="宋体" w:hAnsi="宋体"/>
          <w:color w:val="auto"/>
          <w:sz w:val="24"/>
          <w:highlight w:val="none"/>
          <w:u w:val="single"/>
        </w:rPr>
        <w:t xml:space="preserve">            </w:t>
      </w:r>
    </w:p>
    <w:tbl>
      <w:tblPr>
        <w:tblStyle w:val="20"/>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
        <w:gridCol w:w="2121"/>
        <w:gridCol w:w="2121"/>
        <w:gridCol w:w="2121"/>
        <w:gridCol w:w="21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pct"/>
            <w:vAlign w:val="center"/>
          </w:tcPr>
          <w:p>
            <w:pPr>
              <w:spacing w:line="480" w:lineRule="auto"/>
              <w:jc w:val="center"/>
              <w:rPr>
                <w:rFonts w:ascii="宋体" w:hAnsi="宋体"/>
                <w:color w:val="auto"/>
                <w:sz w:val="21"/>
                <w:szCs w:val="21"/>
                <w:highlight w:val="none"/>
              </w:rPr>
            </w:pPr>
            <w:r>
              <w:rPr>
                <w:rFonts w:hint="eastAsia" w:ascii="宋体" w:hAnsi="宋体"/>
                <w:color w:val="auto"/>
                <w:sz w:val="21"/>
                <w:szCs w:val="21"/>
                <w:highlight w:val="none"/>
              </w:rPr>
              <w:t>序号</w:t>
            </w:r>
          </w:p>
        </w:tc>
        <w:tc>
          <w:tcPr>
            <w:tcW w:w="1135" w:type="pct"/>
            <w:vAlign w:val="center"/>
          </w:tcPr>
          <w:p>
            <w:pPr>
              <w:spacing w:line="480" w:lineRule="auto"/>
              <w:jc w:val="center"/>
              <w:rPr>
                <w:rFonts w:ascii="宋体" w:hAnsi="宋体"/>
                <w:color w:val="auto"/>
                <w:sz w:val="21"/>
                <w:szCs w:val="21"/>
                <w:highlight w:val="none"/>
              </w:rPr>
            </w:pPr>
            <w:r>
              <w:rPr>
                <w:rFonts w:hint="eastAsia" w:ascii="宋体" w:hAnsi="宋体"/>
                <w:color w:val="auto"/>
                <w:sz w:val="21"/>
                <w:szCs w:val="21"/>
                <w:highlight w:val="none"/>
              </w:rPr>
              <w:t>磋商文件条目号</w:t>
            </w:r>
          </w:p>
        </w:tc>
        <w:tc>
          <w:tcPr>
            <w:tcW w:w="1135" w:type="pct"/>
            <w:vAlign w:val="center"/>
          </w:tcPr>
          <w:p>
            <w:pPr>
              <w:spacing w:line="480" w:lineRule="auto"/>
              <w:jc w:val="center"/>
              <w:rPr>
                <w:rFonts w:ascii="宋体" w:hAnsi="宋体"/>
                <w:color w:val="auto"/>
                <w:sz w:val="21"/>
                <w:szCs w:val="21"/>
                <w:highlight w:val="none"/>
              </w:rPr>
            </w:pPr>
            <w:r>
              <w:rPr>
                <w:rFonts w:hint="eastAsia" w:ascii="宋体" w:hAnsi="宋体"/>
                <w:color w:val="auto"/>
                <w:sz w:val="21"/>
                <w:szCs w:val="21"/>
                <w:highlight w:val="none"/>
              </w:rPr>
              <w:t>磋商文件要求</w:t>
            </w:r>
          </w:p>
        </w:tc>
        <w:tc>
          <w:tcPr>
            <w:tcW w:w="1135" w:type="pct"/>
            <w:vAlign w:val="center"/>
          </w:tcPr>
          <w:p>
            <w:pPr>
              <w:spacing w:line="480" w:lineRule="auto"/>
              <w:jc w:val="center"/>
              <w:rPr>
                <w:rFonts w:ascii="宋体" w:hAnsi="宋体"/>
                <w:color w:val="auto"/>
                <w:sz w:val="21"/>
                <w:szCs w:val="21"/>
                <w:highlight w:val="none"/>
              </w:rPr>
            </w:pPr>
            <w:r>
              <w:rPr>
                <w:rFonts w:hint="eastAsia" w:ascii="宋体" w:hAnsi="宋体"/>
                <w:color w:val="auto"/>
                <w:sz w:val="21"/>
                <w:szCs w:val="21"/>
                <w:highlight w:val="none"/>
              </w:rPr>
              <w:t>响应文件应答</w:t>
            </w:r>
          </w:p>
        </w:tc>
        <w:tc>
          <w:tcPr>
            <w:tcW w:w="1136" w:type="pct"/>
            <w:vAlign w:val="center"/>
          </w:tcPr>
          <w:p>
            <w:pPr>
              <w:spacing w:line="480" w:lineRule="auto"/>
              <w:jc w:val="center"/>
              <w:rPr>
                <w:rFonts w:ascii="宋体" w:hAnsi="宋体"/>
                <w:color w:val="auto"/>
                <w:sz w:val="21"/>
                <w:szCs w:val="21"/>
                <w:highlight w:val="none"/>
              </w:rPr>
            </w:pPr>
            <w:r>
              <w:rPr>
                <w:rFonts w:hint="eastAsia" w:ascii="宋体" w:hAnsi="宋体"/>
                <w:color w:val="auto"/>
                <w:sz w:val="21"/>
                <w:szCs w:val="21"/>
                <w:highlight w:val="none"/>
              </w:rPr>
              <w:t>偏离情况（正偏离或负偏离或无偏离）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pct"/>
          </w:tcPr>
          <w:p>
            <w:pPr>
              <w:spacing w:line="480" w:lineRule="auto"/>
              <w:jc w:val="center"/>
              <w:rPr>
                <w:rFonts w:ascii="宋体" w:hAnsi="宋体"/>
                <w:color w:val="auto"/>
                <w:sz w:val="21"/>
                <w:szCs w:val="21"/>
                <w:highlight w:val="none"/>
              </w:rPr>
            </w:pPr>
          </w:p>
        </w:tc>
        <w:tc>
          <w:tcPr>
            <w:tcW w:w="1135" w:type="pct"/>
          </w:tcPr>
          <w:p>
            <w:pPr>
              <w:spacing w:line="480" w:lineRule="auto"/>
              <w:jc w:val="center"/>
              <w:rPr>
                <w:rFonts w:ascii="宋体" w:hAnsi="宋体"/>
                <w:color w:val="auto"/>
                <w:sz w:val="21"/>
                <w:szCs w:val="21"/>
                <w:highlight w:val="none"/>
              </w:rPr>
            </w:pPr>
          </w:p>
        </w:tc>
        <w:tc>
          <w:tcPr>
            <w:tcW w:w="1135" w:type="pct"/>
          </w:tcPr>
          <w:p>
            <w:pPr>
              <w:spacing w:line="480" w:lineRule="auto"/>
              <w:jc w:val="center"/>
              <w:rPr>
                <w:rFonts w:ascii="宋体" w:hAnsi="宋体"/>
                <w:color w:val="auto"/>
                <w:sz w:val="21"/>
                <w:szCs w:val="21"/>
                <w:highlight w:val="none"/>
              </w:rPr>
            </w:pPr>
          </w:p>
        </w:tc>
        <w:tc>
          <w:tcPr>
            <w:tcW w:w="1135" w:type="pct"/>
          </w:tcPr>
          <w:p>
            <w:pPr>
              <w:spacing w:line="480" w:lineRule="auto"/>
              <w:jc w:val="center"/>
              <w:rPr>
                <w:rFonts w:ascii="宋体" w:hAnsi="宋体"/>
                <w:color w:val="auto"/>
                <w:sz w:val="21"/>
                <w:szCs w:val="21"/>
                <w:highlight w:val="none"/>
              </w:rPr>
            </w:pPr>
          </w:p>
        </w:tc>
        <w:tc>
          <w:tcPr>
            <w:tcW w:w="1136" w:type="pct"/>
          </w:tcPr>
          <w:p>
            <w:pPr>
              <w:spacing w:line="480" w:lineRule="auto"/>
              <w:jc w:val="center"/>
              <w:rPr>
                <w:rFonts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pct"/>
          </w:tcPr>
          <w:p>
            <w:pPr>
              <w:spacing w:line="480" w:lineRule="auto"/>
              <w:jc w:val="center"/>
              <w:rPr>
                <w:rFonts w:ascii="宋体" w:hAnsi="宋体"/>
                <w:color w:val="auto"/>
                <w:sz w:val="21"/>
                <w:szCs w:val="21"/>
                <w:highlight w:val="none"/>
              </w:rPr>
            </w:pPr>
          </w:p>
        </w:tc>
        <w:tc>
          <w:tcPr>
            <w:tcW w:w="1135" w:type="pct"/>
          </w:tcPr>
          <w:p>
            <w:pPr>
              <w:spacing w:line="480" w:lineRule="auto"/>
              <w:jc w:val="center"/>
              <w:rPr>
                <w:rFonts w:ascii="宋体" w:hAnsi="宋体"/>
                <w:color w:val="auto"/>
                <w:sz w:val="21"/>
                <w:szCs w:val="21"/>
                <w:highlight w:val="none"/>
              </w:rPr>
            </w:pPr>
          </w:p>
        </w:tc>
        <w:tc>
          <w:tcPr>
            <w:tcW w:w="1135" w:type="pct"/>
          </w:tcPr>
          <w:p>
            <w:pPr>
              <w:spacing w:line="480" w:lineRule="auto"/>
              <w:jc w:val="center"/>
              <w:rPr>
                <w:rFonts w:ascii="宋体" w:hAnsi="宋体"/>
                <w:color w:val="auto"/>
                <w:sz w:val="21"/>
                <w:szCs w:val="21"/>
                <w:highlight w:val="none"/>
              </w:rPr>
            </w:pPr>
          </w:p>
        </w:tc>
        <w:tc>
          <w:tcPr>
            <w:tcW w:w="1135" w:type="pct"/>
          </w:tcPr>
          <w:p>
            <w:pPr>
              <w:spacing w:line="480" w:lineRule="auto"/>
              <w:jc w:val="center"/>
              <w:rPr>
                <w:rFonts w:ascii="宋体" w:hAnsi="宋体"/>
                <w:color w:val="auto"/>
                <w:sz w:val="21"/>
                <w:szCs w:val="21"/>
                <w:highlight w:val="none"/>
              </w:rPr>
            </w:pPr>
          </w:p>
        </w:tc>
        <w:tc>
          <w:tcPr>
            <w:tcW w:w="1136" w:type="pct"/>
          </w:tcPr>
          <w:p>
            <w:pPr>
              <w:spacing w:line="480" w:lineRule="auto"/>
              <w:jc w:val="center"/>
              <w:rPr>
                <w:rFonts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pct"/>
          </w:tcPr>
          <w:p>
            <w:pPr>
              <w:spacing w:line="480" w:lineRule="auto"/>
              <w:jc w:val="center"/>
              <w:rPr>
                <w:rFonts w:ascii="宋体" w:hAnsi="宋体"/>
                <w:color w:val="auto"/>
                <w:sz w:val="21"/>
                <w:szCs w:val="21"/>
                <w:highlight w:val="none"/>
              </w:rPr>
            </w:pPr>
          </w:p>
        </w:tc>
        <w:tc>
          <w:tcPr>
            <w:tcW w:w="1135" w:type="pct"/>
          </w:tcPr>
          <w:p>
            <w:pPr>
              <w:spacing w:line="480" w:lineRule="auto"/>
              <w:jc w:val="center"/>
              <w:rPr>
                <w:rFonts w:ascii="宋体" w:hAnsi="宋体"/>
                <w:color w:val="auto"/>
                <w:sz w:val="21"/>
                <w:szCs w:val="21"/>
                <w:highlight w:val="none"/>
              </w:rPr>
            </w:pPr>
          </w:p>
        </w:tc>
        <w:tc>
          <w:tcPr>
            <w:tcW w:w="1135" w:type="pct"/>
          </w:tcPr>
          <w:p>
            <w:pPr>
              <w:spacing w:line="480" w:lineRule="auto"/>
              <w:jc w:val="center"/>
              <w:rPr>
                <w:rFonts w:ascii="宋体" w:hAnsi="宋体"/>
                <w:color w:val="auto"/>
                <w:sz w:val="21"/>
                <w:szCs w:val="21"/>
                <w:highlight w:val="none"/>
              </w:rPr>
            </w:pPr>
          </w:p>
        </w:tc>
        <w:tc>
          <w:tcPr>
            <w:tcW w:w="1135" w:type="pct"/>
          </w:tcPr>
          <w:p>
            <w:pPr>
              <w:spacing w:line="480" w:lineRule="auto"/>
              <w:jc w:val="center"/>
              <w:rPr>
                <w:rFonts w:ascii="宋体" w:hAnsi="宋体"/>
                <w:color w:val="auto"/>
                <w:sz w:val="21"/>
                <w:szCs w:val="21"/>
                <w:highlight w:val="none"/>
              </w:rPr>
            </w:pPr>
          </w:p>
        </w:tc>
        <w:tc>
          <w:tcPr>
            <w:tcW w:w="1136" w:type="pct"/>
          </w:tcPr>
          <w:p>
            <w:pPr>
              <w:spacing w:line="480" w:lineRule="auto"/>
              <w:jc w:val="center"/>
              <w:rPr>
                <w:rFonts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pct"/>
          </w:tcPr>
          <w:p>
            <w:pPr>
              <w:spacing w:line="480" w:lineRule="auto"/>
              <w:jc w:val="center"/>
              <w:rPr>
                <w:rFonts w:ascii="宋体" w:hAnsi="宋体"/>
                <w:color w:val="auto"/>
                <w:sz w:val="21"/>
                <w:szCs w:val="21"/>
                <w:highlight w:val="none"/>
              </w:rPr>
            </w:pPr>
          </w:p>
        </w:tc>
        <w:tc>
          <w:tcPr>
            <w:tcW w:w="1135" w:type="pct"/>
          </w:tcPr>
          <w:p>
            <w:pPr>
              <w:spacing w:line="480" w:lineRule="auto"/>
              <w:jc w:val="center"/>
              <w:rPr>
                <w:rFonts w:ascii="宋体" w:hAnsi="宋体"/>
                <w:color w:val="auto"/>
                <w:sz w:val="21"/>
                <w:szCs w:val="21"/>
                <w:highlight w:val="none"/>
              </w:rPr>
            </w:pPr>
          </w:p>
        </w:tc>
        <w:tc>
          <w:tcPr>
            <w:tcW w:w="1135" w:type="pct"/>
          </w:tcPr>
          <w:p>
            <w:pPr>
              <w:spacing w:line="480" w:lineRule="auto"/>
              <w:jc w:val="center"/>
              <w:rPr>
                <w:rFonts w:ascii="宋体" w:hAnsi="宋体"/>
                <w:color w:val="auto"/>
                <w:sz w:val="21"/>
                <w:szCs w:val="21"/>
                <w:highlight w:val="none"/>
              </w:rPr>
            </w:pPr>
          </w:p>
        </w:tc>
        <w:tc>
          <w:tcPr>
            <w:tcW w:w="1135" w:type="pct"/>
          </w:tcPr>
          <w:p>
            <w:pPr>
              <w:spacing w:line="480" w:lineRule="auto"/>
              <w:jc w:val="center"/>
              <w:rPr>
                <w:rFonts w:ascii="宋体" w:hAnsi="宋体"/>
                <w:color w:val="auto"/>
                <w:sz w:val="21"/>
                <w:szCs w:val="21"/>
                <w:highlight w:val="none"/>
              </w:rPr>
            </w:pPr>
          </w:p>
        </w:tc>
        <w:tc>
          <w:tcPr>
            <w:tcW w:w="1136" w:type="pct"/>
          </w:tcPr>
          <w:p>
            <w:pPr>
              <w:spacing w:line="480" w:lineRule="auto"/>
              <w:jc w:val="center"/>
              <w:rPr>
                <w:rFonts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pct"/>
          </w:tcPr>
          <w:p>
            <w:pPr>
              <w:spacing w:line="480" w:lineRule="auto"/>
              <w:jc w:val="center"/>
              <w:rPr>
                <w:rFonts w:ascii="宋体" w:hAnsi="宋体"/>
                <w:color w:val="auto"/>
                <w:sz w:val="21"/>
                <w:szCs w:val="21"/>
                <w:highlight w:val="none"/>
              </w:rPr>
            </w:pPr>
          </w:p>
        </w:tc>
        <w:tc>
          <w:tcPr>
            <w:tcW w:w="1135" w:type="pct"/>
          </w:tcPr>
          <w:p>
            <w:pPr>
              <w:spacing w:line="480" w:lineRule="auto"/>
              <w:jc w:val="center"/>
              <w:rPr>
                <w:rFonts w:ascii="宋体" w:hAnsi="宋体"/>
                <w:color w:val="auto"/>
                <w:sz w:val="21"/>
                <w:szCs w:val="21"/>
                <w:highlight w:val="none"/>
              </w:rPr>
            </w:pPr>
          </w:p>
        </w:tc>
        <w:tc>
          <w:tcPr>
            <w:tcW w:w="1135" w:type="pct"/>
          </w:tcPr>
          <w:p>
            <w:pPr>
              <w:spacing w:line="480" w:lineRule="auto"/>
              <w:jc w:val="center"/>
              <w:rPr>
                <w:rFonts w:ascii="宋体" w:hAnsi="宋体"/>
                <w:color w:val="auto"/>
                <w:sz w:val="21"/>
                <w:szCs w:val="21"/>
                <w:highlight w:val="none"/>
              </w:rPr>
            </w:pPr>
          </w:p>
        </w:tc>
        <w:tc>
          <w:tcPr>
            <w:tcW w:w="1135" w:type="pct"/>
          </w:tcPr>
          <w:p>
            <w:pPr>
              <w:spacing w:line="480" w:lineRule="auto"/>
              <w:jc w:val="center"/>
              <w:rPr>
                <w:rFonts w:ascii="宋体" w:hAnsi="宋体"/>
                <w:color w:val="auto"/>
                <w:sz w:val="21"/>
                <w:szCs w:val="21"/>
                <w:highlight w:val="none"/>
              </w:rPr>
            </w:pPr>
          </w:p>
        </w:tc>
        <w:tc>
          <w:tcPr>
            <w:tcW w:w="1136" w:type="pct"/>
          </w:tcPr>
          <w:p>
            <w:pPr>
              <w:spacing w:line="480" w:lineRule="auto"/>
              <w:jc w:val="center"/>
              <w:rPr>
                <w:rFonts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pct"/>
          </w:tcPr>
          <w:p>
            <w:pPr>
              <w:spacing w:line="480" w:lineRule="auto"/>
              <w:jc w:val="center"/>
              <w:rPr>
                <w:rFonts w:ascii="宋体" w:hAnsi="宋体"/>
                <w:color w:val="auto"/>
                <w:sz w:val="21"/>
                <w:szCs w:val="21"/>
                <w:highlight w:val="none"/>
              </w:rPr>
            </w:pPr>
          </w:p>
        </w:tc>
        <w:tc>
          <w:tcPr>
            <w:tcW w:w="1135" w:type="pct"/>
          </w:tcPr>
          <w:p>
            <w:pPr>
              <w:spacing w:line="480" w:lineRule="auto"/>
              <w:jc w:val="center"/>
              <w:rPr>
                <w:rFonts w:ascii="宋体" w:hAnsi="宋体"/>
                <w:color w:val="auto"/>
                <w:sz w:val="21"/>
                <w:szCs w:val="21"/>
                <w:highlight w:val="none"/>
              </w:rPr>
            </w:pPr>
          </w:p>
        </w:tc>
        <w:tc>
          <w:tcPr>
            <w:tcW w:w="1135" w:type="pct"/>
          </w:tcPr>
          <w:p>
            <w:pPr>
              <w:spacing w:line="480" w:lineRule="auto"/>
              <w:jc w:val="center"/>
              <w:rPr>
                <w:rFonts w:ascii="宋体" w:hAnsi="宋体"/>
                <w:color w:val="auto"/>
                <w:sz w:val="21"/>
                <w:szCs w:val="21"/>
                <w:highlight w:val="none"/>
              </w:rPr>
            </w:pPr>
          </w:p>
        </w:tc>
        <w:tc>
          <w:tcPr>
            <w:tcW w:w="1135" w:type="pct"/>
          </w:tcPr>
          <w:p>
            <w:pPr>
              <w:spacing w:line="480" w:lineRule="auto"/>
              <w:jc w:val="center"/>
              <w:rPr>
                <w:rFonts w:ascii="宋体" w:hAnsi="宋体"/>
                <w:color w:val="auto"/>
                <w:sz w:val="21"/>
                <w:szCs w:val="21"/>
                <w:highlight w:val="none"/>
              </w:rPr>
            </w:pPr>
          </w:p>
        </w:tc>
        <w:tc>
          <w:tcPr>
            <w:tcW w:w="1136" w:type="pct"/>
          </w:tcPr>
          <w:p>
            <w:pPr>
              <w:spacing w:line="480" w:lineRule="auto"/>
              <w:jc w:val="center"/>
              <w:rPr>
                <w:rFonts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pct"/>
          </w:tcPr>
          <w:p>
            <w:pPr>
              <w:spacing w:line="480" w:lineRule="auto"/>
              <w:jc w:val="center"/>
              <w:rPr>
                <w:rFonts w:ascii="宋体" w:hAnsi="宋体"/>
                <w:color w:val="auto"/>
                <w:sz w:val="21"/>
                <w:szCs w:val="21"/>
                <w:highlight w:val="none"/>
              </w:rPr>
            </w:pPr>
          </w:p>
        </w:tc>
        <w:tc>
          <w:tcPr>
            <w:tcW w:w="1135" w:type="pct"/>
          </w:tcPr>
          <w:p>
            <w:pPr>
              <w:spacing w:line="480" w:lineRule="auto"/>
              <w:jc w:val="center"/>
              <w:rPr>
                <w:rFonts w:ascii="宋体" w:hAnsi="宋体"/>
                <w:color w:val="auto"/>
                <w:sz w:val="21"/>
                <w:szCs w:val="21"/>
                <w:highlight w:val="none"/>
              </w:rPr>
            </w:pPr>
          </w:p>
        </w:tc>
        <w:tc>
          <w:tcPr>
            <w:tcW w:w="1135" w:type="pct"/>
          </w:tcPr>
          <w:p>
            <w:pPr>
              <w:spacing w:line="480" w:lineRule="auto"/>
              <w:jc w:val="center"/>
              <w:rPr>
                <w:rFonts w:ascii="宋体" w:hAnsi="宋体"/>
                <w:color w:val="auto"/>
                <w:sz w:val="21"/>
                <w:szCs w:val="21"/>
                <w:highlight w:val="none"/>
              </w:rPr>
            </w:pPr>
          </w:p>
        </w:tc>
        <w:tc>
          <w:tcPr>
            <w:tcW w:w="1135" w:type="pct"/>
          </w:tcPr>
          <w:p>
            <w:pPr>
              <w:spacing w:line="480" w:lineRule="auto"/>
              <w:jc w:val="center"/>
              <w:rPr>
                <w:rFonts w:ascii="宋体" w:hAnsi="宋体"/>
                <w:color w:val="auto"/>
                <w:sz w:val="21"/>
                <w:szCs w:val="21"/>
                <w:highlight w:val="none"/>
              </w:rPr>
            </w:pPr>
          </w:p>
        </w:tc>
        <w:tc>
          <w:tcPr>
            <w:tcW w:w="1136" w:type="pct"/>
          </w:tcPr>
          <w:p>
            <w:pPr>
              <w:spacing w:line="480" w:lineRule="auto"/>
              <w:jc w:val="center"/>
              <w:rPr>
                <w:rFonts w:ascii="宋体" w:hAnsi="宋体"/>
                <w:color w:val="auto"/>
                <w:sz w:val="21"/>
                <w:szCs w:val="21"/>
                <w:highlight w:val="none"/>
              </w:rPr>
            </w:pPr>
          </w:p>
        </w:tc>
      </w:tr>
    </w:tbl>
    <w:p>
      <w:pPr>
        <w:widowControl/>
        <w:spacing w:line="360" w:lineRule="auto"/>
        <w:ind w:firstLine="482" w:firstLineChars="200"/>
        <w:jc w:val="left"/>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注：1.</w:t>
      </w:r>
      <w:r>
        <w:rPr>
          <w:rFonts w:hint="eastAsia" w:asciiTheme="minorEastAsia" w:hAnsiTheme="minorEastAsia" w:eastAsiaTheme="minorEastAsia" w:cstheme="minorEastAsia"/>
          <w:b/>
          <w:bCs/>
          <w:color w:val="auto"/>
          <w:sz w:val="24"/>
          <w:highlight w:val="none"/>
          <w:lang w:val="en-US" w:eastAsia="zh-CN"/>
        </w:rPr>
        <w:t>供应商按照磋商</w:t>
      </w:r>
      <w:r>
        <w:rPr>
          <w:rFonts w:hint="eastAsia" w:asciiTheme="minorEastAsia" w:hAnsiTheme="minorEastAsia" w:eastAsiaTheme="minorEastAsia" w:cstheme="minorEastAsia"/>
          <w:b/>
          <w:bCs/>
          <w:color w:val="auto"/>
          <w:sz w:val="24"/>
          <w:highlight w:val="none"/>
        </w:rPr>
        <w:t>文件第</w:t>
      </w:r>
      <w:r>
        <w:rPr>
          <w:rFonts w:hint="eastAsia" w:asciiTheme="minorEastAsia" w:hAnsiTheme="minorEastAsia" w:eastAsiaTheme="minorEastAsia" w:cstheme="minorEastAsia"/>
          <w:b/>
          <w:bCs/>
          <w:color w:val="auto"/>
          <w:sz w:val="24"/>
          <w:highlight w:val="none"/>
          <w:lang w:val="en-US" w:eastAsia="zh-CN"/>
        </w:rPr>
        <w:t>五</w:t>
      </w:r>
      <w:r>
        <w:rPr>
          <w:rFonts w:hint="eastAsia" w:asciiTheme="minorEastAsia" w:hAnsiTheme="minorEastAsia" w:eastAsiaTheme="minorEastAsia" w:cstheme="minorEastAsia"/>
          <w:b/>
          <w:bCs/>
          <w:color w:val="auto"/>
          <w:sz w:val="24"/>
          <w:highlight w:val="none"/>
        </w:rPr>
        <w:t>章</w:t>
      </w:r>
      <w:r>
        <w:rPr>
          <w:rFonts w:hint="eastAsia" w:asciiTheme="minorEastAsia" w:hAnsiTheme="minorEastAsia" w:eastAsiaTheme="minorEastAsia" w:cstheme="minorEastAsia"/>
          <w:b/>
          <w:bCs/>
          <w:color w:val="auto"/>
          <w:sz w:val="24"/>
          <w:highlight w:val="none"/>
          <w:lang w:eastAsia="zh-CN"/>
        </w:rPr>
        <w:t>“</w:t>
      </w:r>
      <w:r>
        <w:rPr>
          <w:rFonts w:hint="eastAsia" w:asciiTheme="minorEastAsia" w:hAnsiTheme="minorEastAsia" w:eastAsiaTheme="minorEastAsia" w:cstheme="minorEastAsia"/>
          <w:b/>
          <w:bCs/>
          <w:color w:val="auto"/>
          <w:sz w:val="24"/>
          <w:highlight w:val="none"/>
          <w:lang w:val="en-US" w:eastAsia="zh-CN"/>
        </w:rPr>
        <w:t>商务要求</w:t>
      </w:r>
      <w:r>
        <w:rPr>
          <w:rFonts w:hint="eastAsia" w:asciiTheme="minorEastAsia" w:hAnsiTheme="minorEastAsia" w:eastAsiaTheme="minorEastAsia" w:cstheme="minorEastAsia"/>
          <w:b/>
          <w:bCs/>
          <w:color w:val="auto"/>
          <w:sz w:val="24"/>
          <w:highlight w:val="none"/>
          <w:lang w:eastAsia="zh-CN"/>
        </w:rPr>
        <w:t>”</w:t>
      </w:r>
      <w:r>
        <w:rPr>
          <w:rFonts w:hint="eastAsia" w:asciiTheme="minorEastAsia" w:hAnsiTheme="minorEastAsia" w:eastAsiaTheme="minorEastAsia" w:cstheme="minorEastAsia"/>
          <w:b/>
          <w:bCs/>
          <w:color w:val="auto"/>
          <w:sz w:val="24"/>
          <w:highlight w:val="none"/>
        </w:rPr>
        <w:t>全部列入此表进行应答。</w:t>
      </w:r>
    </w:p>
    <w:p>
      <w:pPr>
        <w:widowControl/>
        <w:spacing w:line="360" w:lineRule="auto"/>
        <w:ind w:firstLine="482" w:firstLineChars="200"/>
        <w:jc w:val="left"/>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2．按照</w:t>
      </w:r>
      <w:r>
        <w:rPr>
          <w:rFonts w:hint="eastAsia" w:asciiTheme="minorEastAsia" w:hAnsiTheme="minorEastAsia" w:eastAsiaTheme="minorEastAsia" w:cstheme="minorEastAsia"/>
          <w:b/>
          <w:bCs/>
          <w:color w:val="auto"/>
          <w:sz w:val="24"/>
          <w:highlight w:val="none"/>
          <w:lang w:val="en-US" w:eastAsia="zh-CN"/>
        </w:rPr>
        <w:t>采购</w:t>
      </w:r>
      <w:r>
        <w:rPr>
          <w:rFonts w:hint="eastAsia" w:asciiTheme="minorEastAsia" w:hAnsiTheme="minorEastAsia" w:eastAsiaTheme="minorEastAsia" w:cstheme="minorEastAsia"/>
          <w:b/>
          <w:bCs/>
          <w:color w:val="auto"/>
          <w:sz w:val="24"/>
          <w:highlight w:val="none"/>
        </w:rPr>
        <w:t>项目</w:t>
      </w:r>
      <w:r>
        <w:rPr>
          <w:rFonts w:hint="eastAsia" w:asciiTheme="minorEastAsia" w:hAnsiTheme="minorEastAsia" w:eastAsiaTheme="minorEastAsia" w:cstheme="minorEastAsia"/>
          <w:b/>
          <w:bCs/>
          <w:color w:val="auto"/>
          <w:sz w:val="24"/>
          <w:highlight w:val="none"/>
          <w:lang w:eastAsia="zh-CN"/>
        </w:rPr>
        <w:t>“</w:t>
      </w:r>
      <w:r>
        <w:rPr>
          <w:rFonts w:hint="eastAsia" w:asciiTheme="minorEastAsia" w:hAnsiTheme="minorEastAsia" w:eastAsiaTheme="minorEastAsia" w:cstheme="minorEastAsia"/>
          <w:b/>
          <w:bCs/>
          <w:color w:val="auto"/>
          <w:sz w:val="24"/>
          <w:highlight w:val="none"/>
          <w:lang w:val="en-US" w:eastAsia="zh-CN"/>
        </w:rPr>
        <w:t>商务要求</w:t>
      </w:r>
      <w:r>
        <w:rPr>
          <w:rFonts w:hint="eastAsia" w:asciiTheme="minorEastAsia" w:hAnsiTheme="minorEastAsia" w:eastAsiaTheme="minorEastAsia" w:cstheme="minorEastAsia"/>
          <w:b/>
          <w:bCs/>
          <w:color w:val="auto"/>
          <w:sz w:val="24"/>
          <w:highlight w:val="none"/>
          <w:lang w:eastAsia="zh-CN"/>
        </w:rPr>
        <w:t>”</w:t>
      </w:r>
      <w:r>
        <w:rPr>
          <w:rFonts w:hint="eastAsia" w:asciiTheme="minorEastAsia" w:hAnsiTheme="minorEastAsia" w:eastAsiaTheme="minorEastAsia" w:cstheme="minorEastAsia"/>
          <w:b/>
          <w:bCs/>
          <w:color w:val="auto"/>
          <w:sz w:val="24"/>
          <w:highlight w:val="none"/>
        </w:rPr>
        <w:t>的顺序逐条对应填写。</w:t>
      </w:r>
    </w:p>
    <w:p>
      <w:pPr>
        <w:widowControl/>
        <w:spacing w:line="360" w:lineRule="auto"/>
        <w:ind w:firstLine="482" w:firstLineChars="200"/>
        <w:jc w:val="left"/>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3．</w:t>
      </w:r>
      <w:r>
        <w:rPr>
          <w:rFonts w:hint="eastAsia" w:asciiTheme="minorEastAsia" w:hAnsiTheme="minorEastAsia" w:eastAsiaTheme="minorEastAsia" w:cstheme="minorEastAsia"/>
          <w:b/>
          <w:bCs/>
          <w:color w:val="auto"/>
          <w:sz w:val="24"/>
          <w:highlight w:val="none"/>
          <w:lang w:val="en-US" w:eastAsia="zh-CN"/>
        </w:rPr>
        <w:t>供应商</w:t>
      </w:r>
      <w:r>
        <w:rPr>
          <w:rFonts w:hint="eastAsia" w:asciiTheme="minorEastAsia" w:hAnsiTheme="minorEastAsia" w:eastAsiaTheme="minorEastAsia" w:cstheme="minorEastAsia"/>
          <w:b/>
          <w:bCs/>
          <w:color w:val="auto"/>
          <w:sz w:val="24"/>
          <w:highlight w:val="none"/>
        </w:rPr>
        <w:t>必须据实填写，不得虚假填写，否则将取消其</w:t>
      </w:r>
      <w:r>
        <w:rPr>
          <w:rFonts w:hint="eastAsia" w:asciiTheme="minorEastAsia" w:hAnsiTheme="minorEastAsia" w:eastAsiaTheme="minorEastAsia" w:cstheme="minorEastAsia"/>
          <w:b/>
          <w:bCs/>
          <w:color w:val="auto"/>
          <w:sz w:val="24"/>
          <w:highlight w:val="none"/>
          <w:lang w:val="en-US" w:eastAsia="zh-CN"/>
        </w:rPr>
        <w:t>磋商</w:t>
      </w:r>
      <w:r>
        <w:rPr>
          <w:rFonts w:hint="eastAsia" w:asciiTheme="minorEastAsia" w:hAnsiTheme="minorEastAsia" w:eastAsiaTheme="minorEastAsia" w:cstheme="minorEastAsia"/>
          <w:b/>
          <w:bCs/>
          <w:color w:val="auto"/>
          <w:sz w:val="24"/>
          <w:highlight w:val="none"/>
        </w:rPr>
        <w:t>或</w:t>
      </w:r>
      <w:r>
        <w:rPr>
          <w:rFonts w:hint="eastAsia" w:asciiTheme="minorEastAsia" w:hAnsiTheme="minorEastAsia" w:eastAsiaTheme="minorEastAsia" w:cstheme="minorEastAsia"/>
          <w:b/>
          <w:bCs/>
          <w:color w:val="auto"/>
          <w:sz w:val="24"/>
          <w:highlight w:val="none"/>
          <w:lang w:val="en-US" w:eastAsia="zh-CN"/>
        </w:rPr>
        <w:t>成交</w:t>
      </w:r>
      <w:r>
        <w:rPr>
          <w:rFonts w:hint="eastAsia" w:asciiTheme="minorEastAsia" w:hAnsiTheme="minorEastAsia" w:eastAsiaTheme="minorEastAsia" w:cstheme="minorEastAsia"/>
          <w:b/>
          <w:bCs/>
          <w:color w:val="auto"/>
          <w:sz w:val="24"/>
          <w:highlight w:val="none"/>
        </w:rPr>
        <w:t>资格。</w:t>
      </w:r>
    </w:p>
    <w:p>
      <w:pPr>
        <w:adjustRightInd w:val="0"/>
        <w:spacing w:line="480" w:lineRule="auto"/>
        <w:ind w:firstLine="480" w:firstLineChars="200"/>
        <w:jc w:val="left"/>
        <w:rPr>
          <w:rFonts w:ascii="新宋体" w:hAnsi="新宋体" w:eastAsia="新宋体"/>
          <w:color w:val="auto"/>
          <w:sz w:val="24"/>
          <w:highlight w:val="none"/>
        </w:rPr>
      </w:pPr>
    </w:p>
    <w:p>
      <w:pPr>
        <w:pStyle w:val="2"/>
        <w:rPr>
          <w:highlight w:val="none"/>
        </w:rPr>
      </w:pPr>
    </w:p>
    <w:p>
      <w:pPr>
        <w:adjustRightIn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供应商名称（盖章）：</w:t>
      </w:r>
      <w:r>
        <w:rPr>
          <w:rFonts w:hint="eastAsia" w:ascii="宋体" w:hAnsi="宋体"/>
          <w:color w:val="auto"/>
          <w:sz w:val="24"/>
          <w:highlight w:val="none"/>
          <w:u w:val="single"/>
        </w:rPr>
        <w:t xml:space="preserve">                      </w:t>
      </w:r>
    </w:p>
    <w:p>
      <w:pPr>
        <w:adjustRightIn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法定代表人或授权代表（签字或加盖个人名章）：</w:t>
      </w:r>
      <w:r>
        <w:rPr>
          <w:rFonts w:hint="eastAsia" w:ascii="宋体" w:hAnsi="宋体"/>
          <w:color w:val="auto"/>
          <w:sz w:val="24"/>
          <w:highlight w:val="none"/>
          <w:u w:val="single"/>
        </w:rPr>
        <w:t xml:space="preserve">           </w:t>
      </w:r>
    </w:p>
    <w:p>
      <w:pPr>
        <w:spacing w:line="360" w:lineRule="auto"/>
        <w:ind w:firstLine="480" w:firstLineChars="200"/>
        <w:rPr>
          <w:rFonts w:ascii="Arial" w:hAnsi="Arial" w:eastAsia="黑体"/>
          <w:b/>
          <w:bCs/>
          <w:color w:val="auto"/>
          <w:sz w:val="32"/>
          <w:szCs w:val="32"/>
          <w:highlight w:val="none"/>
        </w:rPr>
        <w:sectPr>
          <w:footerReference r:id="rId11" w:type="default"/>
          <w:pgSz w:w="11850" w:h="16783"/>
          <w:pgMar w:top="1440" w:right="1304" w:bottom="1440" w:left="1417" w:header="851" w:footer="992" w:gutter="0"/>
          <w:pgNumType w:fmt="numberInDash"/>
          <w:cols w:space="0" w:num="1"/>
          <w:docGrid w:type="lines" w:linePitch="312" w:charSpace="0"/>
        </w:sectPr>
      </w:pPr>
      <w:r>
        <w:rPr>
          <w:rFonts w:hint="eastAsia" w:ascii="宋体" w:hAnsi="宋体"/>
          <w:color w:val="auto"/>
          <w:sz w:val="24"/>
          <w:highlight w:val="none"/>
        </w:rPr>
        <w:t>日    期：</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ascii="宋体" w:hAnsi="宋体"/>
          <w:color w:val="auto"/>
          <w:sz w:val="24"/>
          <w:highlight w:val="none"/>
        </w:rPr>
        <w:t>年</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ascii="宋体" w:hAnsi="宋体"/>
          <w:color w:val="auto"/>
          <w:sz w:val="24"/>
          <w:highlight w:val="none"/>
        </w:rPr>
        <w:t>月</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ascii="宋体" w:hAnsi="宋体"/>
          <w:color w:val="auto"/>
          <w:sz w:val="24"/>
          <w:highlight w:val="none"/>
        </w:rPr>
        <w:t>日</w:t>
      </w:r>
    </w:p>
    <w:p>
      <w:pPr>
        <w:pStyle w:val="5"/>
        <w:numPr>
          <w:ilvl w:val="0"/>
          <w:numId w:val="0"/>
        </w:numPr>
        <w:spacing w:before="0" w:after="0" w:line="360" w:lineRule="auto"/>
        <w:jc w:val="center"/>
        <w:rPr>
          <w:rStyle w:val="31"/>
          <w:rFonts w:hint="eastAsia"/>
          <w:b/>
          <w:bCs/>
          <w:color w:val="auto"/>
          <w:highlight w:val="none"/>
        </w:rPr>
      </w:pPr>
      <w:r>
        <w:rPr>
          <w:rStyle w:val="31"/>
          <w:rFonts w:hint="eastAsia"/>
          <w:b/>
          <w:bCs/>
          <w:color w:val="auto"/>
          <w:highlight w:val="none"/>
          <w:lang w:val="en-US" w:eastAsia="zh-CN"/>
        </w:rPr>
        <w:t>五、</w:t>
      </w:r>
      <w:r>
        <w:rPr>
          <w:rStyle w:val="31"/>
          <w:rFonts w:hint="eastAsia"/>
          <w:b/>
          <w:bCs/>
          <w:color w:val="auto"/>
          <w:highlight w:val="none"/>
        </w:rPr>
        <w:t>供应商基本情况表</w:t>
      </w:r>
      <w:bookmarkEnd w:id="147"/>
      <w:bookmarkEnd w:id="148"/>
    </w:p>
    <w:p>
      <w:pPr>
        <w:numPr>
          <w:ilvl w:val="0"/>
          <w:numId w:val="0"/>
        </w:numPr>
        <w:rPr>
          <w:highlight w:val="none"/>
        </w:rPr>
      </w:pPr>
    </w:p>
    <w:tbl>
      <w:tblPr>
        <w:tblStyle w:val="19"/>
        <w:tblW w:w="4999"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1644"/>
        <w:gridCol w:w="1060"/>
        <w:gridCol w:w="1323"/>
        <w:gridCol w:w="1396"/>
        <w:gridCol w:w="1441"/>
        <w:gridCol w:w="176"/>
        <w:gridCol w:w="1114"/>
        <w:gridCol w:w="1189"/>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80" w:type="pct"/>
            <w:vAlign w:val="center"/>
          </w:tcPr>
          <w:p>
            <w:pPr>
              <w:autoSpaceDE w:val="0"/>
              <w:autoSpaceDN w:val="0"/>
              <w:adjustRightInd w:val="0"/>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供应商名称</w:t>
            </w:r>
          </w:p>
        </w:tc>
        <w:tc>
          <w:tcPr>
            <w:tcW w:w="4119" w:type="pct"/>
            <w:gridSpan w:val="7"/>
            <w:vAlign w:val="center"/>
          </w:tcPr>
          <w:p>
            <w:pPr>
              <w:autoSpaceDE w:val="0"/>
              <w:autoSpaceDN w:val="0"/>
              <w:adjustRightInd w:val="0"/>
              <w:spacing w:line="400" w:lineRule="exact"/>
              <w:jc w:val="center"/>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80" w:type="pct"/>
            <w:vAlign w:val="center"/>
          </w:tcPr>
          <w:p>
            <w:pPr>
              <w:autoSpaceDE w:val="0"/>
              <w:autoSpaceDN w:val="0"/>
              <w:adjustRightInd w:val="0"/>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注册地址</w:t>
            </w:r>
          </w:p>
        </w:tc>
        <w:tc>
          <w:tcPr>
            <w:tcW w:w="2022" w:type="pct"/>
            <w:gridSpan w:val="3"/>
            <w:vAlign w:val="center"/>
          </w:tcPr>
          <w:p>
            <w:pPr>
              <w:autoSpaceDE w:val="0"/>
              <w:autoSpaceDN w:val="0"/>
              <w:adjustRightInd w:val="0"/>
              <w:spacing w:line="400" w:lineRule="exact"/>
              <w:jc w:val="center"/>
              <w:rPr>
                <w:rFonts w:hint="eastAsia" w:ascii="宋体" w:hAnsi="宋体" w:eastAsia="宋体" w:cs="宋体"/>
                <w:color w:val="auto"/>
                <w:kern w:val="0"/>
                <w:szCs w:val="21"/>
                <w:highlight w:val="none"/>
              </w:rPr>
            </w:pPr>
          </w:p>
        </w:tc>
        <w:tc>
          <w:tcPr>
            <w:tcW w:w="771" w:type="pct"/>
            <w:vAlign w:val="center"/>
          </w:tcPr>
          <w:p>
            <w:pPr>
              <w:autoSpaceDE w:val="0"/>
              <w:autoSpaceDN w:val="0"/>
              <w:adjustRightInd w:val="0"/>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邮政编码</w:t>
            </w:r>
          </w:p>
        </w:tc>
        <w:tc>
          <w:tcPr>
            <w:tcW w:w="1326" w:type="pct"/>
            <w:gridSpan w:val="3"/>
            <w:vAlign w:val="center"/>
          </w:tcPr>
          <w:p>
            <w:pPr>
              <w:autoSpaceDE w:val="0"/>
              <w:autoSpaceDN w:val="0"/>
              <w:adjustRightInd w:val="0"/>
              <w:spacing w:line="400" w:lineRule="exact"/>
              <w:jc w:val="center"/>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80" w:type="pct"/>
            <w:vMerge w:val="restart"/>
            <w:vAlign w:val="center"/>
          </w:tcPr>
          <w:p>
            <w:pPr>
              <w:autoSpaceDE w:val="0"/>
              <w:autoSpaceDN w:val="0"/>
              <w:adjustRightInd w:val="0"/>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联系方式</w:t>
            </w:r>
          </w:p>
        </w:tc>
        <w:tc>
          <w:tcPr>
            <w:tcW w:w="567" w:type="pct"/>
            <w:vAlign w:val="center"/>
          </w:tcPr>
          <w:p>
            <w:pPr>
              <w:autoSpaceDE w:val="0"/>
              <w:autoSpaceDN w:val="0"/>
              <w:adjustRightInd w:val="0"/>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联系人</w:t>
            </w:r>
          </w:p>
        </w:tc>
        <w:tc>
          <w:tcPr>
            <w:tcW w:w="1454" w:type="pct"/>
            <w:gridSpan w:val="2"/>
            <w:vAlign w:val="center"/>
          </w:tcPr>
          <w:p>
            <w:pPr>
              <w:autoSpaceDE w:val="0"/>
              <w:autoSpaceDN w:val="0"/>
              <w:adjustRightInd w:val="0"/>
              <w:spacing w:line="400" w:lineRule="exact"/>
              <w:jc w:val="center"/>
              <w:rPr>
                <w:rFonts w:hint="eastAsia" w:ascii="宋体" w:hAnsi="宋体" w:eastAsia="宋体" w:cs="宋体"/>
                <w:color w:val="auto"/>
                <w:kern w:val="0"/>
                <w:szCs w:val="21"/>
                <w:highlight w:val="none"/>
              </w:rPr>
            </w:pPr>
          </w:p>
        </w:tc>
        <w:tc>
          <w:tcPr>
            <w:tcW w:w="771" w:type="pct"/>
            <w:vAlign w:val="center"/>
          </w:tcPr>
          <w:p>
            <w:pPr>
              <w:autoSpaceDE w:val="0"/>
              <w:autoSpaceDN w:val="0"/>
              <w:adjustRightInd w:val="0"/>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电话</w:t>
            </w:r>
          </w:p>
        </w:tc>
        <w:tc>
          <w:tcPr>
            <w:tcW w:w="1326" w:type="pct"/>
            <w:gridSpan w:val="3"/>
            <w:vAlign w:val="center"/>
          </w:tcPr>
          <w:p>
            <w:pPr>
              <w:autoSpaceDE w:val="0"/>
              <w:autoSpaceDN w:val="0"/>
              <w:adjustRightInd w:val="0"/>
              <w:spacing w:line="400" w:lineRule="exact"/>
              <w:jc w:val="center"/>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80" w:type="pct"/>
            <w:vMerge w:val="continue"/>
            <w:vAlign w:val="center"/>
          </w:tcPr>
          <w:p>
            <w:pPr>
              <w:autoSpaceDE w:val="0"/>
              <w:autoSpaceDN w:val="0"/>
              <w:adjustRightInd w:val="0"/>
              <w:spacing w:line="400" w:lineRule="exact"/>
              <w:jc w:val="center"/>
              <w:rPr>
                <w:rFonts w:hint="eastAsia" w:ascii="宋体" w:hAnsi="宋体" w:eastAsia="宋体" w:cs="宋体"/>
                <w:color w:val="auto"/>
                <w:kern w:val="0"/>
                <w:szCs w:val="21"/>
                <w:highlight w:val="none"/>
              </w:rPr>
            </w:pPr>
          </w:p>
        </w:tc>
        <w:tc>
          <w:tcPr>
            <w:tcW w:w="567" w:type="pct"/>
            <w:vAlign w:val="center"/>
          </w:tcPr>
          <w:p>
            <w:pPr>
              <w:autoSpaceDE w:val="0"/>
              <w:autoSpaceDN w:val="0"/>
              <w:adjustRightInd w:val="0"/>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传真</w:t>
            </w:r>
          </w:p>
        </w:tc>
        <w:tc>
          <w:tcPr>
            <w:tcW w:w="1454" w:type="pct"/>
            <w:gridSpan w:val="2"/>
            <w:vAlign w:val="center"/>
          </w:tcPr>
          <w:p>
            <w:pPr>
              <w:autoSpaceDE w:val="0"/>
              <w:autoSpaceDN w:val="0"/>
              <w:adjustRightInd w:val="0"/>
              <w:spacing w:line="400" w:lineRule="exact"/>
              <w:jc w:val="center"/>
              <w:rPr>
                <w:rFonts w:hint="eastAsia" w:ascii="宋体" w:hAnsi="宋体" w:eastAsia="宋体" w:cs="宋体"/>
                <w:color w:val="auto"/>
                <w:kern w:val="0"/>
                <w:szCs w:val="21"/>
                <w:highlight w:val="none"/>
              </w:rPr>
            </w:pPr>
          </w:p>
        </w:tc>
        <w:tc>
          <w:tcPr>
            <w:tcW w:w="771" w:type="pct"/>
            <w:vAlign w:val="center"/>
          </w:tcPr>
          <w:p>
            <w:pPr>
              <w:autoSpaceDE w:val="0"/>
              <w:autoSpaceDN w:val="0"/>
              <w:adjustRightInd w:val="0"/>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网址</w:t>
            </w:r>
          </w:p>
        </w:tc>
        <w:tc>
          <w:tcPr>
            <w:tcW w:w="1326" w:type="pct"/>
            <w:gridSpan w:val="3"/>
            <w:vAlign w:val="center"/>
          </w:tcPr>
          <w:p>
            <w:pPr>
              <w:autoSpaceDE w:val="0"/>
              <w:autoSpaceDN w:val="0"/>
              <w:adjustRightInd w:val="0"/>
              <w:spacing w:line="400" w:lineRule="exact"/>
              <w:jc w:val="center"/>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80" w:type="pct"/>
            <w:vAlign w:val="center"/>
          </w:tcPr>
          <w:p>
            <w:pPr>
              <w:autoSpaceDE w:val="0"/>
              <w:autoSpaceDN w:val="0"/>
              <w:adjustRightInd w:val="0"/>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组织结构</w:t>
            </w:r>
          </w:p>
        </w:tc>
        <w:tc>
          <w:tcPr>
            <w:tcW w:w="4119" w:type="pct"/>
            <w:gridSpan w:val="7"/>
            <w:vAlign w:val="center"/>
          </w:tcPr>
          <w:p>
            <w:pPr>
              <w:autoSpaceDE w:val="0"/>
              <w:autoSpaceDN w:val="0"/>
              <w:adjustRightInd w:val="0"/>
              <w:spacing w:line="400" w:lineRule="exact"/>
              <w:jc w:val="center"/>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80" w:type="pct"/>
            <w:vAlign w:val="center"/>
          </w:tcPr>
          <w:p>
            <w:pPr>
              <w:autoSpaceDE w:val="0"/>
              <w:autoSpaceDN w:val="0"/>
              <w:adjustRightInd w:val="0"/>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法定代表人</w:t>
            </w:r>
          </w:p>
        </w:tc>
        <w:tc>
          <w:tcPr>
            <w:tcW w:w="567" w:type="pct"/>
            <w:vAlign w:val="center"/>
          </w:tcPr>
          <w:p>
            <w:pPr>
              <w:autoSpaceDE w:val="0"/>
              <w:autoSpaceDN w:val="0"/>
              <w:adjustRightInd w:val="0"/>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姓名</w:t>
            </w:r>
          </w:p>
        </w:tc>
        <w:tc>
          <w:tcPr>
            <w:tcW w:w="707" w:type="pct"/>
            <w:vAlign w:val="center"/>
          </w:tcPr>
          <w:p>
            <w:pPr>
              <w:autoSpaceDE w:val="0"/>
              <w:autoSpaceDN w:val="0"/>
              <w:adjustRightInd w:val="0"/>
              <w:spacing w:line="400" w:lineRule="exact"/>
              <w:jc w:val="center"/>
              <w:rPr>
                <w:rFonts w:hint="eastAsia" w:ascii="宋体" w:hAnsi="宋体" w:eastAsia="宋体" w:cs="宋体"/>
                <w:color w:val="auto"/>
                <w:kern w:val="0"/>
                <w:szCs w:val="21"/>
                <w:highlight w:val="none"/>
              </w:rPr>
            </w:pPr>
          </w:p>
        </w:tc>
        <w:tc>
          <w:tcPr>
            <w:tcW w:w="746" w:type="pct"/>
            <w:vAlign w:val="center"/>
          </w:tcPr>
          <w:p>
            <w:pPr>
              <w:autoSpaceDE w:val="0"/>
              <w:autoSpaceDN w:val="0"/>
              <w:adjustRightInd w:val="0"/>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技术职称</w:t>
            </w:r>
          </w:p>
        </w:tc>
        <w:tc>
          <w:tcPr>
            <w:tcW w:w="771" w:type="pct"/>
            <w:vAlign w:val="center"/>
          </w:tcPr>
          <w:p>
            <w:pPr>
              <w:autoSpaceDE w:val="0"/>
              <w:autoSpaceDN w:val="0"/>
              <w:adjustRightInd w:val="0"/>
              <w:spacing w:line="400" w:lineRule="exact"/>
              <w:jc w:val="center"/>
              <w:rPr>
                <w:rFonts w:hint="eastAsia" w:ascii="宋体" w:hAnsi="宋体" w:eastAsia="宋体" w:cs="宋体"/>
                <w:color w:val="auto"/>
                <w:kern w:val="0"/>
                <w:szCs w:val="21"/>
                <w:highlight w:val="none"/>
              </w:rPr>
            </w:pPr>
          </w:p>
        </w:tc>
        <w:tc>
          <w:tcPr>
            <w:tcW w:w="690" w:type="pct"/>
            <w:gridSpan w:val="2"/>
            <w:vAlign w:val="center"/>
          </w:tcPr>
          <w:p>
            <w:pPr>
              <w:autoSpaceDE w:val="0"/>
              <w:autoSpaceDN w:val="0"/>
              <w:adjustRightInd w:val="0"/>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电话</w:t>
            </w:r>
          </w:p>
        </w:tc>
        <w:tc>
          <w:tcPr>
            <w:tcW w:w="636" w:type="pct"/>
            <w:vAlign w:val="center"/>
          </w:tcPr>
          <w:p>
            <w:pPr>
              <w:autoSpaceDE w:val="0"/>
              <w:autoSpaceDN w:val="0"/>
              <w:adjustRightInd w:val="0"/>
              <w:spacing w:line="400" w:lineRule="exact"/>
              <w:jc w:val="center"/>
              <w:rPr>
                <w:rFonts w:hint="eastAsia" w:ascii="宋体" w:hAnsi="宋体" w:eastAsia="宋体" w:cs="宋体"/>
                <w:b/>
                <w:bCs/>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80" w:type="pct"/>
            <w:vAlign w:val="center"/>
          </w:tcPr>
          <w:p>
            <w:pPr>
              <w:autoSpaceDE w:val="0"/>
              <w:autoSpaceDN w:val="0"/>
              <w:adjustRightInd w:val="0"/>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技术负责人</w:t>
            </w:r>
          </w:p>
        </w:tc>
        <w:tc>
          <w:tcPr>
            <w:tcW w:w="567" w:type="pct"/>
            <w:vAlign w:val="center"/>
          </w:tcPr>
          <w:p>
            <w:pPr>
              <w:autoSpaceDE w:val="0"/>
              <w:autoSpaceDN w:val="0"/>
              <w:adjustRightInd w:val="0"/>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姓名</w:t>
            </w:r>
          </w:p>
        </w:tc>
        <w:tc>
          <w:tcPr>
            <w:tcW w:w="707" w:type="pct"/>
            <w:vAlign w:val="center"/>
          </w:tcPr>
          <w:p>
            <w:pPr>
              <w:autoSpaceDE w:val="0"/>
              <w:autoSpaceDN w:val="0"/>
              <w:adjustRightInd w:val="0"/>
              <w:spacing w:line="400" w:lineRule="exact"/>
              <w:jc w:val="center"/>
              <w:rPr>
                <w:rFonts w:hint="eastAsia" w:ascii="宋体" w:hAnsi="宋体" w:eastAsia="宋体" w:cs="宋体"/>
                <w:color w:val="auto"/>
                <w:kern w:val="0"/>
                <w:szCs w:val="21"/>
                <w:highlight w:val="none"/>
              </w:rPr>
            </w:pPr>
          </w:p>
        </w:tc>
        <w:tc>
          <w:tcPr>
            <w:tcW w:w="746" w:type="pct"/>
            <w:vAlign w:val="center"/>
          </w:tcPr>
          <w:p>
            <w:pPr>
              <w:autoSpaceDE w:val="0"/>
              <w:autoSpaceDN w:val="0"/>
              <w:adjustRightInd w:val="0"/>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技术职称</w:t>
            </w:r>
          </w:p>
        </w:tc>
        <w:tc>
          <w:tcPr>
            <w:tcW w:w="771" w:type="pct"/>
            <w:vAlign w:val="center"/>
          </w:tcPr>
          <w:p>
            <w:pPr>
              <w:autoSpaceDE w:val="0"/>
              <w:autoSpaceDN w:val="0"/>
              <w:adjustRightInd w:val="0"/>
              <w:spacing w:line="400" w:lineRule="exact"/>
              <w:jc w:val="center"/>
              <w:rPr>
                <w:rFonts w:hint="eastAsia" w:ascii="宋体" w:hAnsi="宋体" w:eastAsia="宋体" w:cs="宋体"/>
                <w:color w:val="auto"/>
                <w:kern w:val="0"/>
                <w:szCs w:val="21"/>
                <w:highlight w:val="none"/>
              </w:rPr>
            </w:pPr>
          </w:p>
        </w:tc>
        <w:tc>
          <w:tcPr>
            <w:tcW w:w="690" w:type="pct"/>
            <w:gridSpan w:val="2"/>
            <w:vAlign w:val="center"/>
          </w:tcPr>
          <w:p>
            <w:pPr>
              <w:autoSpaceDE w:val="0"/>
              <w:autoSpaceDN w:val="0"/>
              <w:adjustRightInd w:val="0"/>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电话</w:t>
            </w:r>
          </w:p>
        </w:tc>
        <w:tc>
          <w:tcPr>
            <w:tcW w:w="636" w:type="pct"/>
            <w:vAlign w:val="center"/>
          </w:tcPr>
          <w:p>
            <w:pPr>
              <w:autoSpaceDE w:val="0"/>
              <w:autoSpaceDN w:val="0"/>
              <w:adjustRightInd w:val="0"/>
              <w:spacing w:line="400" w:lineRule="exact"/>
              <w:jc w:val="center"/>
              <w:rPr>
                <w:rFonts w:hint="eastAsia" w:ascii="宋体" w:hAnsi="宋体" w:eastAsia="宋体" w:cs="宋体"/>
                <w:b/>
                <w:bCs/>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80" w:type="pct"/>
            <w:vAlign w:val="center"/>
          </w:tcPr>
          <w:p>
            <w:pPr>
              <w:autoSpaceDE w:val="0"/>
              <w:autoSpaceDN w:val="0"/>
              <w:adjustRightInd w:val="0"/>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成立时间</w:t>
            </w:r>
          </w:p>
        </w:tc>
        <w:tc>
          <w:tcPr>
            <w:tcW w:w="1275" w:type="pct"/>
            <w:gridSpan w:val="2"/>
            <w:vAlign w:val="center"/>
          </w:tcPr>
          <w:p>
            <w:pPr>
              <w:autoSpaceDE w:val="0"/>
              <w:autoSpaceDN w:val="0"/>
              <w:adjustRightInd w:val="0"/>
              <w:spacing w:line="400" w:lineRule="exact"/>
              <w:jc w:val="center"/>
              <w:rPr>
                <w:rFonts w:hint="eastAsia" w:ascii="宋体" w:hAnsi="宋体" w:eastAsia="宋体" w:cs="宋体"/>
                <w:color w:val="auto"/>
                <w:kern w:val="0"/>
                <w:szCs w:val="21"/>
                <w:highlight w:val="none"/>
              </w:rPr>
            </w:pPr>
          </w:p>
        </w:tc>
        <w:tc>
          <w:tcPr>
            <w:tcW w:w="2844" w:type="pct"/>
            <w:gridSpan w:val="5"/>
            <w:vAlign w:val="center"/>
          </w:tcPr>
          <w:p>
            <w:pPr>
              <w:autoSpaceDE w:val="0"/>
              <w:autoSpaceDN w:val="0"/>
              <w:adjustRightInd w:val="0"/>
              <w:spacing w:line="400" w:lineRule="exact"/>
              <w:ind w:firstLine="1470" w:firstLineChars="7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员工总人数：</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80" w:type="pct"/>
            <w:vAlign w:val="center"/>
          </w:tcPr>
          <w:p>
            <w:pPr>
              <w:autoSpaceDE w:val="0"/>
              <w:autoSpaceDN w:val="0"/>
              <w:adjustRightInd w:val="0"/>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企业资质等级</w:t>
            </w:r>
          </w:p>
        </w:tc>
        <w:tc>
          <w:tcPr>
            <w:tcW w:w="1275" w:type="pct"/>
            <w:gridSpan w:val="2"/>
            <w:vAlign w:val="center"/>
          </w:tcPr>
          <w:p>
            <w:pPr>
              <w:autoSpaceDE w:val="0"/>
              <w:autoSpaceDN w:val="0"/>
              <w:adjustRightInd w:val="0"/>
              <w:spacing w:line="400" w:lineRule="exact"/>
              <w:jc w:val="center"/>
              <w:rPr>
                <w:rFonts w:hint="eastAsia" w:ascii="宋体" w:hAnsi="宋体" w:eastAsia="宋体" w:cs="宋体"/>
                <w:color w:val="auto"/>
                <w:kern w:val="0"/>
                <w:szCs w:val="21"/>
                <w:highlight w:val="none"/>
              </w:rPr>
            </w:pPr>
          </w:p>
        </w:tc>
        <w:tc>
          <w:tcPr>
            <w:tcW w:w="746" w:type="pct"/>
            <w:vMerge w:val="restart"/>
            <w:vAlign w:val="center"/>
          </w:tcPr>
          <w:p>
            <w:pPr>
              <w:autoSpaceDE w:val="0"/>
              <w:autoSpaceDN w:val="0"/>
              <w:adjustRightInd w:val="0"/>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其中</w:t>
            </w:r>
          </w:p>
        </w:tc>
        <w:tc>
          <w:tcPr>
            <w:tcW w:w="865" w:type="pct"/>
            <w:gridSpan w:val="2"/>
            <w:vAlign w:val="center"/>
          </w:tcPr>
          <w:p>
            <w:pPr>
              <w:autoSpaceDE w:val="0"/>
              <w:autoSpaceDN w:val="0"/>
              <w:adjustRightInd w:val="0"/>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项目经理</w:t>
            </w:r>
          </w:p>
        </w:tc>
        <w:tc>
          <w:tcPr>
            <w:tcW w:w="1232" w:type="pct"/>
            <w:gridSpan w:val="2"/>
            <w:vAlign w:val="center"/>
          </w:tcPr>
          <w:p>
            <w:pPr>
              <w:autoSpaceDE w:val="0"/>
              <w:autoSpaceDN w:val="0"/>
              <w:adjustRightInd w:val="0"/>
              <w:spacing w:line="400" w:lineRule="exact"/>
              <w:jc w:val="center"/>
              <w:rPr>
                <w:rFonts w:hint="eastAsia" w:ascii="宋体" w:hAnsi="宋体" w:eastAsia="宋体" w:cs="宋体"/>
                <w:b/>
                <w:bCs/>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80" w:type="pct"/>
            <w:vAlign w:val="center"/>
          </w:tcPr>
          <w:p>
            <w:pPr>
              <w:autoSpaceDE w:val="0"/>
              <w:autoSpaceDN w:val="0"/>
              <w:adjustRightInd w:val="0"/>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营业执照号</w:t>
            </w:r>
          </w:p>
        </w:tc>
        <w:tc>
          <w:tcPr>
            <w:tcW w:w="1275" w:type="pct"/>
            <w:gridSpan w:val="2"/>
            <w:vAlign w:val="center"/>
          </w:tcPr>
          <w:p>
            <w:pPr>
              <w:autoSpaceDE w:val="0"/>
              <w:autoSpaceDN w:val="0"/>
              <w:adjustRightInd w:val="0"/>
              <w:spacing w:line="400" w:lineRule="exact"/>
              <w:jc w:val="center"/>
              <w:rPr>
                <w:rFonts w:hint="eastAsia" w:ascii="宋体" w:hAnsi="宋体" w:eastAsia="宋体" w:cs="宋体"/>
                <w:color w:val="auto"/>
                <w:kern w:val="0"/>
                <w:szCs w:val="21"/>
                <w:highlight w:val="none"/>
              </w:rPr>
            </w:pPr>
          </w:p>
        </w:tc>
        <w:tc>
          <w:tcPr>
            <w:tcW w:w="746" w:type="pct"/>
            <w:vMerge w:val="continue"/>
            <w:vAlign w:val="center"/>
          </w:tcPr>
          <w:p>
            <w:pPr>
              <w:autoSpaceDE w:val="0"/>
              <w:autoSpaceDN w:val="0"/>
              <w:adjustRightInd w:val="0"/>
              <w:spacing w:line="400" w:lineRule="exact"/>
              <w:jc w:val="center"/>
              <w:rPr>
                <w:rFonts w:hint="eastAsia" w:ascii="宋体" w:hAnsi="宋体" w:eastAsia="宋体" w:cs="宋体"/>
                <w:color w:val="auto"/>
                <w:kern w:val="0"/>
                <w:szCs w:val="21"/>
                <w:highlight w:val="none"/>
              </w:rPr>
            </w:pPr>
          </w:p>
        </w:tc>
        <w:tc>
          <w:tcPr>
            <w:tcW w:w="865" w:type="pct"/>
            <w:gridSpan w:val="2"/>
            <w:vAlign w:val="center"/>
          </w:tcPr>
          <w:p>
            <w:pPr>
              <w:autoSpaceDE w:val="0"/>
              <w:autoSpaceDN w:val="0"/>
              <w:adjustRightInd w:val="0"/>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高级职称人员</w:t>
            </w:r>
          </w:p>
        </w:tc>
        <w:tc>
          <w:tcPr>
            <w:tcW w:w="1232" w:type="pct"/>
            <w:gridSpan w:val="2"/>
            <w:vAlign w:val="center"/>
          </w:tcPr>
          <w:p>
            <w:pPr>
              <w:autoSpaceDE w:val="0"/>
              <w:autoSpaceDN w:val="0"/>
              <w:adjustRightInd w:val="0"/>
              <w:spacing w:line="400" w:lineRule="exact"/>
              <w:jc w:val="center"/>
              <w:rPr>
                <w:rFonts w:hint="eastAsia" w:ascii="宋体" w:hAnsi="宋体" w:eastAsia="宋体" w:cs="宋体"/>
                <w:b/>
                <w:bCs/>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80" w:type="pct"/>
            <w:vAlign w:val="center"/>
          </w:tcPr>
          <w:p>
            <w:pPr>
              <w:autoSpaceDE w:val="0"/>
              <w:autoSpaceDN w:val="0"/>
              <w:adjustRightInd w:val="0"/>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注册资金</w:t>
            </w:r>
          </w:p>
        </w:tc>
        <w:tc>
          <w:tcPr>
            <w:tcW w:w="1275" w:type="pct"/>
            <w:gridSpan w:val="2"/>
            <w:vAlign w:val="center"/>
          </w:tcPr>
          <w:p>
            <w:pPr>
              <w:autoSpaceDE w:val="0"/>
              <w:autoSpaceDN w:val="0"/>
              <w:adjustRightInd w:val="0"/>
              <w:spacing w:line="400" w:lineRule="exact"/>
              <w:jc w:val="center"/>
              <w:rPr>
                <w:rFonts w:hint="eastAsia" w:ascii="宋体" w:hAnsi="宋体" w:eastAsia="宋体" w:cs="宋体"/>
                <w:color w:val="auto"/>
                <w:kern w:val="0"/>
                <w:szCs w:val="21"/>
                <w:highlight w:val="none"/>
              </w:rPr>
            </w:pPr>
          </w:p>
        </w:tc>
        <w:tc>
          <w:tcPr>
            <w:tcW w:w="746" w:type="pct"/>
            <w:vMerge w:val="continue"/>
            <w:vAlign w:val="center"/>
          </w:tcPr>
          <w:p>
            <w:pPr>
              <w:autoSpaceDE w:val="0"/>
              <w:autoSpaceDN w:val="0"/>
              <w:adjustRightInd w:val="0"/>
              <w:spacing w:line="400" w:lineRule="exact"/>
              <w:jc w:val="center"/>
              <w:rPr>
                <w:rFonts w:hint="eastAsia" w:ascii="宋体" w:hAnsi="宋体" w:eastAsia="宋体" w:cs="宋体"/>
                <w:color w:val="auto"/>
                <w:kern w:val="0"/>
                <w:szCs w:val="21"/>
                <w:highlight w:val="none"/>
              </w:rPr>
            </w:pPr>
          </w:p>
        </w:tc>
        <w:tc>
          <w:tcPr>
            <w:tcW w:w="865" w:type="pct"/>
            <w:gridSpan w:val="2"/>
            <w:vAlign w:val="center"/>
          </w:tcPr>
          <w:p>
            <w:pPr>
              <w:autoSpaceDE w:val="0"/>
              <w:autoSpaceDN w:val="0"/>
              <w:adjustRightInd w:val="0"/>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中级职称人员</w:t>
            </w:r>
          </w:p>
        </w:tc>
        <w:tc>
          <w:tcPr>
            <w:tcW w:w="1232" w:type="pct"/>
            <w:gridSpan w:val="2"/>
            <w:vAlign w:val="center"/>
          </w:tcPr>
          <w:p>
            <w:pPr>
              <w:autoSpaceDE w:val="0"/>
              <w:autoSpaceDN w:val="0"/>
              <w:adjustRightInd w:val="0"/>
              <w:spacing w:line="400" w:lineRule="exact"/>
              <w:jc w:val="center"/>
              <w:rPr>
                <w:rFonts w:hint="eastAsia" w:ascii="宋体" w:hAnsi="宋体" w:eastAsia="宋体" w:cs="宋体"/>
                <w:b/>
                <w:bCs/>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80" w:type="pct"/>
            <w:vAlign w:val="center"/>
          </w:tcPr>
          <w:p>
            <w:pPr>
              <w:autoSpaceDE w:val="0"/>
              <w:autoSpaceDN w:val="0"/>
              <w:adjustRightInd w:val="0"/>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开户银行</w:t>
            </w:r>
          </w:p>
        </w:tc>
        <w:tc>
          <w:tcPr>
            <w:tcW w:w="1275" w:type="pct"/>
            <w:gridSpan w:val="2"/>
            <w:vAlign w:val="center"/>
          </w:tcPr>
          <w:p>
            <w:pPr>
              <w:autoSpaceDE w:val="0"/>
              <w:autoSpaceDN w:val="0"/>
              <w:adjustRightInd w:val="0"/>
              <w:spacing w:line="400" w:lineRule="exact"/>
              <w:jc w:val="center"/>
              <w:rPr>
                <w:rFonts w:hint="eastAsia" w:ascii="宋体" w:hAnsi="宋体" w:eastAsia="宋体" w:cs="宋体"/>
                <w:color w:val="auto"/>
                <w:kern w:val="0"/>
                <w:szCs w:val="21"/>
                <w:highlight w:val="none"/>
              </w:rPr>
            </w:pPr>
          </w:p>
        </w:tc>
        <w:tc>
          <w:tcPr>
            <w:tcW w:w="746" w:type="pct"/>
            <w:vMerge w:val="continue"/>
            <w:vAlign w:val="center"/>
          </w:tcPr>
          <w:p>
            <w:pPr>
              <w:autoSpaceDE w:val="0"/>
              <w:autoSpaceDN w:val="0"/>
              <w:adjustRightInd w:val="0"/>
              <w:spacing w:line="400" w:lineRule="exact"/>
              <w:jc w:val="center"/>
              <w:rPr>
                <w:rFonts w:hint="eastAsia" w:ascii="宋体" w:hAnsi="宋体" w:eastAsia="宋体" w:cs="宋体"/>
                <w:color w:val="auto"/>
                <w:kern w:val="0"/>
                <w:szCs w:val="21"/>
                <w:highlight w:val="none"/>
              </w:rPr>
            </w:pPr>
          </w:p>
        </w:tc>
        <w:tc>
          <w:tcPr>
            <w:tcW w:w="865" w:type="pct"/>
            <w:gridSpan w:val="2"/>
            <w:vAlign w:val="center"/>
          </w:tcPr>
          <w:p>
            <w:pPr>
              <w:autoSpaceDE w:val="0"/>
              <w:autoSpaceDN w:val="0"/>
              <w:adjustRightInd w:val="0"/>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初级职称人员</w:t>
            </w:r>
          </w:p>
        </w:tc>
        <w:tc>
          <w:tcPr>
            <w:tcW w:w="1232" w:type="pct"/>
            <w:gridSpan w:val="2"/>
            <w:vAlign w:val="center"/>
          </w:tcPr>
          <w:p>
            <w:pPr>
              <w:autoSpaceDE w:val="0"/>
              <w:autoSpaceDN w:val="0"/>
              <w:adjustRightInd w:val="0"/>
              <w:spacing w:line="400" w:lineRule="exact"/>
              <w:jc w:val="center"/>
              <w:rPr>
                <w:rFonts w:hint="eastAsia" w:ascii="宋体" w:hAnsi="宋体" w:eastAsia="宋体" w:cs="宋体"/>
                <w:b/>
                <w:bCs/>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80" w:type="pct"/>
            <w:vAlign w:val="center"/>
          </w:tcPr>
          <w:p>
            <w:pPr>
              <w:autoSpaceDE w:val="0"/>
              <w:autoSpaceDN w:val="0"/>
              <w:adjustRightInd w:val="0"/>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账号</w:t>
            </w:r>
          </w:p>
        </w:tc>
        <w:tc>
          <w:tcPr>
            <w:tcW w:w="1275" w:type="pct"/>
            <w:gridSpan w:val="2"/>
            <w:vAlign w:val="center"/>
          </w:tcPr>
          <w:p>
            <w:pPr>
              <w:autoSpaceDE w:val="0"/>
              <w:autoSpaceDN w:val="0"/>
              <w:adjustRightInd w:val="0"/>
              <w:spacing w:line="400" w:lineRule="exact"/>
              <w:jc w:val="center"/>
              <w:rPr>
                <w:rFonts w:hint="eastAsia" w:ascii="宋体" w:hAnsi="宋体" w:eastAsia="宋体" w:cs="宋体"/>
                <w:color w:val="auto"/>
                <w:kern w:val="0"/>
                <w:szCs w:val="21"/>
                <w:highlight w:val="none"/>
              </w:rPr>
            </w:pPr>
          </w:p>
        </w:tc>
        <w:tc>
          <w:tcPr>
            <w:tcW w:w="746" w:type="pct"/>
            <w:vMerge w:val="continue"/>
            <w:vAlign w:val="center"/>
          </w:tcPr>
          <w:p>
            <w:pPr>
              <w:autoSpaceDE w:val="0"/>
              <w:autoSpaceDN w:val="0"/>
              <w:adjustRightInd w:val="0"/>
              <w:spacing w:line="400" w:lineRule="exact"/>
              <w:jc w:val="center"/>
              <w:rPr>
                <w:rFonts w:hint="eastAsia" w:ascii="宋体" w:hAnsi="宋体" w:eastAsia="宋体" w:cs="宋体"/>
                <w:color w:val="auto"/>
                <w:kern w:val="0"/>
                <w:szCs w:val="21"/>
                <w:highlight w:val="none"/>
              </w:rPr>
            </w:pPr>
          </w:p>
        </w:tc>
        <w:tc>
          <w:tcPr>
            <w:tcW w:w="865" w:type="pct"/>
            <w:gridSpan w:val="2"/>
            <w:vAlign w:val="center"/>
          </w:tcPr>
          <w:p>
            <w:pPr>
              <w:autoSpaceDE w:val="0"/>
              <w:autoSpaceDN w:val="0"/>
              <w:adjustRightInd w:val="0"/>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技工</w:t>
            </w:r>
          </w:p>
        </w:tc>
        <w:tc>
          <w:tcPr>
            <w:tcW w:w="1232" w:type="pct"/>
            <w:gridSpan w:val="2"/>
            <w:vAlign w:val="center"/>
          </w:tcPr>
          <w:p>
            <w:pPr>
              <w:autoSpaceDE w:val="0"/>
              <w:autoSpaceDN w:val="0"/>
              <w:adjustRightInd w:val="0"/>
              <w:spacing w:line="400" w:lineRule="exact"/>
              <w:jc w:val="center"/>
              <w:rPr>
                <w:rFonts w:hint="eastAsia" w:ascii="宋体" w:hAnsi="宋体" w:eastAsia="宋体" w:cs="宋体"/>
                <w:b/>
                <w:bCs/>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80" w:type="pct"/>
            <w:vAlign w:val="center"/>
          </w:tcPr>
          <w:p>
            <w:pPr>
              <w:autoSpaceDE w:val="0"/>
              <w:autoSpaceDN w:val="0"/>
              <w:adjustRightInd w:val="0"/>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经营范围</w:t>
            </w:r>
          </w:p>
        </w:tc>
        <w:tc>
          <w:tcPr>
            <w:tcW w:w="4119" w:type="pct"/>
            <w:gridSpan w:val="7"/>
            <w:vAlign w:val="center"/>
          </w:tcPr>
          <w:p>
            <w:pPr>
              <w:autoSpaceDE w:val="0"/>
              <w:autoSpaceDN w:val="0"/>
              <w:adjustRightInd w:val="0"/>
              <w:spacing w:line="400" w:lineRule="exact"/>
              <w:rPr>
                <w:rFonts w:hint="eastAsia" w:ascii="宋体" w:hAnsi="宋体" w:eastAsia="宋体" w:cs="宋体"/>
                <w:b/>
                <w:bCs/>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80" w:type="pct"/>
          </w:tcPr>
          <w:p>
            <w:pPr>
              <w:autoSpaceDE w:val="0"/>
              <w:autoSpaceDN w:val="0"/>
              <w:adjustRightInd w:val="0"/>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备注</w:t>
            </w:r>
          </w:p>
        </w:tc>
        <w:tc>
          <w:tcPr>
            <w:tcW w:w="4119" w:type="pct"/>
            <w:gridSpan w:val="7"/>
          </w:tcPr>
          <w:p>
            <w:pPr>
              <w:autoSpaceDE w:val="0"/>
              <w:autoSpaceDN w:val="0"/>
              <w:adjustRightInd w:val="0"/>
              <w:spacing w:line="400" w:lineRule="exact"/>
              <w:jc w:val="left"/>
              <w:rPr>
                <w:rFonts w:hint="eastAsia" w:ascii="宋体" w:hAnsi="宋体" w:eastAsia="宋体" w:cs="宋体"/>
                <w:color w:val="auto"/>
                <w:kern w:val="0"/>
                <w:szCs w:val="21"/>
                <w:highlight w:val="none"/>
              </w:rPr>
            </w:pPr>
          </w:p>
        </w:tc>
      </w:tr>
    </w:tbl>
    <w:p>
      <w:pPr>
        <w:adjustRightInd w:val="0"/>
        <w:spacing w:line="480" w:lineRule="auto"/>
        <w:ind w:firstLine="480" w:firstLineChars="200"/>
        <w:jc w:val="left"/>
        <w:rPr>
          <w:rFonts w:ascii="新宋体" w:hAnsi="新宋体" w:eastAsia="新宋体"/>
          <w:color w:val="auto"/>
          <w:sz w:val="24"/>
          <w:highlight w:val="none"/>
        </w:rPr>
      </w:pPr>
      <w:bookmarkStart w:id="149" w:name="_Toc217446089"/>
    </w:p>
    <w:p>
      <w:pPr>
        <w:adjustRightInd w:val="0"/>
        <w:spacing w:line="360" w:lineRule="auto"/>
        <w:ind w:firstLine="480" w:firstLineChars="200"/>
        <w:jc w:val="left"/>
        <w:rPr>
          <w:rFonts w:hint="eastAsia" w:ascii="宋体" w:hAnsi="宋体"/>
          <w:color w:val="auto"/>
          <w:sz w:val="24"/>
          <w:highlight w:val="none"/>
        </w:rPr>
      </w:pPr>
    </w:p>
    <w:p>
      <w:pPr>
        <w:adjustRightIn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供应商名称（盖章）：</w:t>
      </w:r>
      <w:r>
        <w:rPr>
          <w:rFonts w:hint="eastAsia" w:ascii="宋体" w:hAnsi="宋体"/>
          <w:color w:val="auto"/>
          <w:sz w:val="24"/>
          <w:highlight w:val="none"/>
          <w:u w:val="single"/>
        </w:rPr>
        <w:t xml:space="preserve">                      </w:t>
      </w:r>
    </w:p>
    <w:p>
      <w:pPr>
        <w:adjustRightIn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法定代表人或授权代表（签字或加盖个人名章）：</w:t>
      </w:r>
      <w:r>
        <w:rPr>
          <w:rFonts w:hint="eastAsia" w:ascii="宋体" w:hAnsi="宋体"/>
          <w:color w:val="auto"/>
          <w:sz w:val="24"/>
          <w:highlight w:val="none"/>
          <w:u w:val="single"/>
        </w:rPr>
        <w:t xml:space="preserve">           </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日    期：</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ascii="宋体" w:hAnsi="宋体"/>
          <w:color w:val="auto"/>
          <w:sz w:val="24"/>
          <w:highlight w:val="none"/>
        </w:rPr>
        <w:t>年</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ascii="宋体" w:hAnsi="宋体"/>
          <w:color w:val="auto"/>
          <w:sz w:val="24"/>
          <w:highlight w:val="none"/>
        </w:rPr>
        <w:t>月</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ascii="宋体" w:hAnsi="宋体"/>
          <w:color w:val="auto"/>
          <w:sz w:val="24"/>
          <w:highlight w:val="none"/>
        </w:rPr>
        <w:t>日</w:t>
      </w:r>
    </w:p>
    <w:p>
      <w:pPr>
        <w:rPr>
          <w:color w:val="auto"/>
          <w:highlight w:val="none"/>
        </w:rPr>
      </w:pPr>
      <w:r>
        <w:rPr>
          <w:rFonts w:hint="eastAsia"/>
          <w:color w:val="auto"/>
          <w:highlight w:val="none"/>
        </w:rPr>
        <w:br w:type="page"/>
      </w:r>
    </w:p>
    <w:p>
      <w:pPr>
        <w:pStyle w:val="5"/>
        <w:numPr>
          <w:ilvl w:val="0"/>
          <w:numId w:val="0"/>
        </w:numPr>
        <w:spacing w:before="0" w:after="0" w:line="360" w:lineRule="auto"/>
        <w:jc w:val="center"/>
        <w:rPr>
          <w:rFonts w:hint="eastAsia"/>
          <w:color w:val="auto"/>
          <w:highlight w:val="none"/>
        </w:rPr>
      </w:pPr>
      <w:bookmarkStart w:id="150" w:name="_Toc562_WPSOffice_Level2"/>
      <w:bookmarkStart w:id="151" w:name="_Toc1968_WPSOffice_Level2"/>
      <w:r>
        <w:rPr>
          <w:rFonts w:hint="eastAsia"/>
          <w:color w:val="auto"/>
          <w:highlight w:val="none"/>
          <w:lang w:val="en-US" w:eastAsia="zh-CN"/>
        </w:rPr>
        <w:t>六、</w:t>
      </w:r>
      <w:r>
        <w:rPr>
          <w:rFonts w:hint="eastAsia"/>
          <w:color w:val="auto"/>
          <w:highlight w:val="none"/>
        </w:rPr>
        <w:t>供应商类似项目业绩一览表</w:t>
      </w:r>
      <w:bookmarkEnd w:id="149"/>
      <w:bookmarkEnd w:id="150"/>
      <w:bookmarkEnd w:id="151"/>
    </w:p>
    <w:p>
      <w:pPr>
        <w:numPr>
          <w:ilvl w:val="0"/>
          <w:numId w:val="0"/>
        </w:numPr>
        <w:rPr>
          <w:highlight w:val="none"/>
        </w:rPr>
      </w:pPr>
    </w:p>
    <w:tbl>
      <w:tblPr>
        <w:tblStyle w:val="19"/>
        <w:tblW w:w="4997"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54" w:type="dxa"/>
          <w:bottom w:w="0" w:type="dxa"/>
          <w:right w:w="54" w:type="dxa"/>
        </w:tblCellMar>
      </w:tblPr>
      <w:tblGrid>
        <w:gridCol w:w="769"/>
        <w:gridCol w:w="1545"/>
        <w:gridCol w:w="1415"/>
        <w:gridCol w:w="1243"/>
        <w:gridCol w:w="1351"/>
        <w:gridCol w:w="7"/>
        <w:gridCol w:w="1602"/>
        <w:gridCol w:w="1286"/>
        <w:gridCol w:w="1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416" w:type="pct"/>
            <w:tcBorders>
              <w:top w:val="single" w:color="auto" w:sz="4" w:space="0"/>
            </w:tcBorders>
            <w:vAlign w:val="center"/>
          </w:tcPr>
          <w:p>
            <w:pPr>
              <w:spacing w:line="400" w:lineRule="exact"/>
              <w:ind w:firstLine="105" w:firstLineChars="5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年份</w:t>
            </w:r>
          </w:p>
        </w:tc>
        <w:tc>
          <w:tcPr>
            <w:tcW w:w="836" w:type="pct"/>
            <w:vAlign w:val="center"/>
          </w:tcPr>
          <w:p>
            <w:pPr>
              <w:spacing w:line="400" w:lineRule="exact"/>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用户名称</w:t>
            </w:r>
          </w:p>
        </w:tc>
        <w:tc>
          <w:tcPr>
            <w:tcW w:w="766" w:type="pct"/>
            <w:vAlign w:val="center"/>
          </w:tcPr>
          <w:p>
            <w:pPr>
              <w:spacing w:line="400" w:lineRule="exact"/>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项目名称</w:t>
            </w:r>
          </w:p>
        </w:tc>
        <w:tc>
          <w:tcPr>
            <w:tcW w:w="673" w:type="pct"/>
            <w:vAlign w:val="center"/>
          </w:tcPr>
          <w:p>
            <w:pPr>
              <w:spacing w:line="400" w:lineRule="exact"/>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完成时间</w:t>
            </w:r>
          </w:p>
        </w:tc>
        <w:tc>
          <w:tcPr>
            <w:tcW w:w="731" w:type="pct"/>
            <w:vAlign w:val="center"/>
          </w:tcPr>
          <w:p>
            <w:pPr>
              <w:spacing w:line="400" w:lineRule="exact"/>
              <w:ind w:firstLine="105" w:firstLineChars="5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合同金额</w:t>
            </w:r>
          </w:p>
        </w:tc>
        <w:tc>
          <w:tcPr>
            <w:tcW w:w="871" w:type="pct"/>
            <w:gridSpan w:val="2"/>
            <w:tcBorders>
              <w:right w:val="single" w:color="auto" w:sz="4" w:space="0"/>
            </w:tcBorders>
            <w:vAlign w:val="center"/>
          </w:tcPr>
          <w:p>
            <w:pPr>
              <w:spacing w:line="400" w:lineRule="exact"/>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是否通过验收</w:t>
            </w:r>
          </w:p>
        </w:tc>
        <w:tc>
          <w:tcPr>
            <w:tcW w:w="703" w:type="pct"/>
            <w:gridSpan w:val="2"/>
            <w:tcBorders>
              <w:right w:val="single" w:color="auto" w:sz="4" w:space="0"/>
            </w:tcBorders>
            <w:vAlign w:val="center"/>
          </w:tcPr>
          <w:p>
            <w:pPr>
              <w:spacing w:line="400" w:lineRule="exact"/>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416" w:type="pct"/>
            <w:vAlign w:val="center"/>
          </w:tcPr>
          <w:p>
            <w:pPr>
              <w:spacing w:line="400" w:lineRule="exact"/>
              <w:jc w:val="center"/>
              <w:rPr>
                <w:rFonts w:hint="eastAsia" w:ascii="宋体" w:hAnsi="宋体" w:eastAsia="宋体" w:cs="宋体"/>
                <w:color w:val="auto"/>
                <w:sz w:val="21"/>
                <w:szCs w:val="21"/>
                <w:highlight w:val="none"/>
              </w:rPr>
            </w:pPr>
          </w:p>
        </w:tc>
        <w:tc>
          <w:tcPr>
            <w:tcW w:w="836" w:type="pct"/>
            <w:vAlign w:val="center"/>
          </w:tcPr>
          <w:p>
            <w:pPr>
              <w:spacing w:line="400" w:lineRule="exact"/>
              <w:jc w:val="center"/>
              <w:rPr>
                <w:rFonts w:hint="eastAsia" w:ascii="宋体" w:hAnsi="宋体" w:eastAsia="宋体" w:cs="宋体"/>
                <w:color w:val="auto"/>
                <w:sz w:val="21"/>
                <w:szCs w:val="21"/>
                <w:highlight w:val="none"/>
              </w:rPr>
            </w:pPr>
          </w:p>
        </w:tc>
        <w:tc>
          <w:tcPr>
            <w:tcW w:w="766" w:type="pct"/>
            <w:vAlign w:val="center"/>
          </w:tcPr>
          <w:p>
            <w:pPr>
              <w:spacing w:line="400" w:lineRule="exact"/>
              <w:jc w:val="center"/>
              <w:rPr>
                <w:rFonts w:hint="eastAsia" w:ascii="宋体" w:hAnsi="宋体" w:eastAsia="宋体" w:cs="宋体"/>
                <w:color w:val="auto"/>
                <w:sz w:val="21"/>
                <w:szCs w:val="21"/>
                <w:highlight w:val="none"/>
              </w:rPr>
            </w:pPr>
          </w:p>
        </w:tc>
        <w:tc>
          <w:tcPr>
            <w:tcW w:w="673" w:type="pct"/>
            <w:vAlign w:val="center"/>
          </w:tcPr>
          <w:p>
            <w:pPr>
              <w:spacing w:line="400" w:lineRule="exact"/>
              <w:jc w:val="center"/>
              <w:rPr>
                <w:rFonts w:hint="eastAsia" w:ascii="宋体" w:hAnsi="宋体" w:eastAsia="宋体" w:cs="宋体"/>
                <w:color w:val="auto"/>
                <w:sz w:val="21"/>
                <w:szCs w:val="21"/>
                <w:highlight w:val="none"/>
              </w:rPr>
            </w:pPr>
          </w:p>
        </w:tc>
        <w:tc>
          <w:tcPr>
            <w:tcW w:w="731" w:type="pct"/>
            <w:vAlign w:val="center"/>
          </w:tcPr>
          <w:p>
            <w:pPr>
              <w:spacing w:line="400" w:lineRule="exact"/>
              <w:jc w:val="center"/>
              <w:rPr>
                <w:rFonts w:hint="eastAsia" w:ascii="宋体" w:hAnsi="宋体" w:eastAsia="宋体" w:cs="宋体"/>
                <w:color w:val="auto"/>
                <w:sz w:val="21"/>
                <w:szCs w:val="21"/>
                <w:highlight w:val="none"/>
              </w:rPr>
            </w:pPr>
          </w:p>
        </w:tc>
        <w:tc>
          <w:tcPr>
            <w:tcW w:w="871" w:type="pct"/>
            <w:gridSpan w:val="2"/>
            <w:tcBorders>
              <w:right w:val="single" w:color="auto" w:sz="4" w:space="0"/>
            </w:tcBorders>
            <w:vAlign w:val="center"/>
          </w:tcPr>
          <w:p>
            <w:pPr>
              <w:spacing w:line="400" w:lineRule="exact"/>
              <w:jc w:val="center"/>
              <w:rPr>
                <w:rFonts w:hint="eastAsia" w:ascii="宋体" w:hAnsi="宋体" w:eastAsia="宋体" w:cs="宋体"/>
                <w:color w:val="auto"/>
                <w:sz w:val="21"/>
                <w:szCs w:val="21"/>
                <w:highlight w:val="none"/>
              </w:rPr>
            </w:pPr>
          </w:p>
        </w:tc>
        <w:tc>
          <w:tcPr>
            <w:tcW w:w="703" w:type="pct"/>
            <w:gridSpan w:val="2"/>
            <w:tcBorders>
              <w:right w:val="single" w:color="auto" w:sz="4" w:space="0"/>
            </w:tcBorders>
            <w:vAlign w:val="center"/>
          </w:tcPr>
          <w:p>
            <w:pPr>
              <w:spacing w:line="400" w:lineRule="exact"/>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416" w:type="pct"/>
            <w:vAlign w:val="center"/>
          </w:tcPr>
          <w:p>
            <w:pPr>
              <w:spacing w:line="400" w:lineRule="exact"/>
              <w:jc w:val="center"/>
              <w:rPr>
                <w:rFonts w:hint="eastAsia" w:ascii="宋体" w:hAnsi="宋体" w:eastAsia="宋体" w:cs="宋体"/>
                <w:color w:val="auto"/>
                <w:sz w:val="21"/>
                <w:szCs w:val="21"/>
                <w:highlight w:val="none"/>
              </w:rPr>
            </w:pPr>
          </w:p>
        </w:tc>
        <w:tc>
          <w:tcPr>
            <w:tcW w:w="836" w:type="pct"/>
            <w:vAlign w:val="center"/>
          </w:tcPr>
          <w:p>
            <w:pPr>
              <w:spacing w:line="400" w:lineRule="exact"/>
              <w:jc w:val="center"/>
              <w:rPr>
                <w:rFonts w:hint="eastAsia" w:ascii="宋体" w:hAnsi="宋体" w:eastAsia="宋体" w:cs="宋体"/>
                <w:color w:val="auto"/>
                <w:sz w:val="21"/>
                <w:szCs w:val="21"/>
                <w:highlight w:val="none"/>
              </w:rPr>
            </w:pPr>
          </w:p>
        </w:tc>
        <w:tc>
          <w:tcPr>
            <w:tcW w:w="766" w:type="pct"/>
            <w:vAlign w:val="center"/>
          </w:tcPr>
          <w:p>
            <w:pPr>
              <w:spacing w:line="400" w:lineRule="exact"/>
              <w:jc w:val="center"/>
              <w:rPr>
                <w:rFonts w:hint="eastAsia" w:ascii="宋体" w:hAnsi="宋体" w:eastAsia="宋体" w:cs="宋体"/>
                <w:color w:val="auto"/>
                <w:sz w:val="21"/>
                <w:szCs w:val="21"/>
                <w:highlight w:val="none"/>
              </w:rPr>
            </w:pPr>
          </w:p>
        </w:tc>
        <w:tc>
          <w:tcPr>
            <w:tcW w:w="673" w:type="pct"/>
            <w:vAlign w:val="center"/>
          </w:tcPr>
          <w:p>
            <w:pPr>
              <w:spacing w:line="400" w:lineRule="exact"/>
              <w:jc w:val="center"/>
              <w:rPr>
                <w:rFonts w:hint="eastAsia" w:ascii="宋体" w:hAnsi="宋体" w:eastAsia="宋体" w:cs="宋体"/>
                <w:color w:val="auto"/>
                <w:sz w:val="21"/>
                <w:szCs w:val="21"/>
                <w:highlight w:val="none"/>
              </w:rPr>
            </w:pPr>
          </w:p>
        </w:tc>
        <w:tc>
          <w:tcPr>
            <w:tcW w:w="731" w:type="pct"/>
            <w:vAlign w:val="center"/>
          </w:tcPr>
          <w:p>
            <w:pPr>
              <w:spacing w:line="400" w:lineRule="exact"/>
              <w:jc w:val="center"/>
              <w:rPr>
                <w:rFonts w:hint="eastAsia" w:ascii="宋体" w:hAnsi="宋体" w:eastAsia="宋体" w:cs="宋体"/>
                <w:color w:val="auto"/>
                <w:sz w:val="21"/>
                <w:szCs w:val="21"/>
                <w:highlight w:val="none"/>
              </w:rPr>
            </w:pPr>
          </w:p>
        </w:tc>
        <w:tc>
          <w:tcPr>
            <w:tcW w:w="871" w:type="pct"/>
            <w:gridSpan w:val="2"/>
            <w:tcBorders>
              <w:right w:val="single" w:color="auto" w:sz="4" w:space="0"/>
            </w:tcBorders>
            <w:vAlign w:val="center"/>
          </w:tcPr>
          <w:p>
            <w:pPr>
              <w:spacing w:line="400" w:lineRule="exact"/>
              <w:jc w:val="center"/>
              <w:rPr>
                <w:rFonts w:hint="eastAsia" w:ascii="宋体" w:hAnsi="宋体" w:eastAsia="宋体" w:cs="宋体"/>
                <w:color w:val="auto"/>
                <w:sz w:val="21"/>
                <w:szCs w:val="21"/>
                <w:highlight w:val="none"/>
              </w:rPr>
            </w:pPr>
          </w:p>
        </w:tc>
        <w:tc>
          <w:tcPr>
            <w:tcW w:w="703" w:type="pct"/>
            <w:gridSpan w:val="2"/>
            <w:tcBorders>
              <w:right w:val="single" w:color="auto" w:sz="4" w:space="0"/>
            </w:tcBorders>
            <w:vAlign w:val="center"/>
          </w:tcPr>
          <w:p>
            <w:pPr>
              <w:spacing w:line="400" w:lineRule="exact"/>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416" w:type="pct"/>
            <w:vAlign w:val="center"/>
          </w:tcPr>
          <w:p>
            <w:pPr>
              <w:spacing w:line="400" w:lineRule="exact"/>
              <w:jc w:val="center"/>
              <w:rPr>
                <w:rFonts w:hint="eastAsia" w:ascii="宋体" w:hAnsi="宋体" w:eastAsia="宋体" w:cs="宋体"/>
                <w:color w:val="auto"/>
                <w:sz w:val="21"/>
                <w:szCs w:val="21"/>
                <w:highlight w:val="none"/>
              </w:rPr>
            </w:pPr>
          </w:p>
        </w:tc>
        <w:tc>
          <w:tcPr>
            <w:tcW w:w="836" w:type="pct"/>
            <w:vAlign w:val="center"/>
          </w:tcPr>
          <w:p>
            <w:pPr>
              <w:spacing w:line="400" w:lineRule="exact"/>
              <w:jc w:val="center"/>
              <w:rPr>
                <w:rFonts w:hint="eastAsia" w:ascii="宋体" w:hAnsi="宋体" w:eastAsia="宋体" w:cs="宋体"/>
                <w:color w:val="auto"/>
                <w:sz w:val="21"/>
                <w:szCs w:val="21"/>
                <w:highlight w:val="none"/>
              </w:rPr>
            </w:pPr>
          </w:p>
        </w:tc>
        <w:tc>
          <w:tcPr>
            <w:tcW w:w="766" w:type="pct"/>
            <w:vAlign w:val="center"/>
          </w:tcPr>
          <w:p>
            <w:pPr>
              <w:spacing w:line="400" w:lineRule="exact"/>
              <w:jc w:val="center"/>
              <w:rPr>
                <w:rFonts w:hint="eastAsia" w:ascii="宋体" w:hAnsi="宋体" w:eastAsia="宋体" w:cs="宋体"/>
                <w:color w:val="auto"/>
                <w:sz w:val="21"/>
                <w:szCs w:val="21"/>
                <w:highlight w:val="none"/>
              </w:rPr>
            </w:pPr>
          </w:p>
        </w:tc>
        <w:tc>
          <w:tcPr>
            <w:tcW w:w="673" w:type="pct"/>
            <w:vAlign w:val="center"/>
          </w:tcPr>
          <w:p>
            <w:pPr>
              <w:spacing w:line="400" w:lineRule="exact"/>
              <w:jc w:val="center"/>
              <w:rPr>
                <w:rFonts w:hint="eastAsia" w:ascii="宋体" w:hAnsi="宋体" w:eastAsia="宋体" w:cs="宋体"/>
                <w:color w:val="auto"/>
                <w:sz w:val="21"/>
                <w:szCs w:val="21"/>
                <w:highlight w:val="none"/>
              </w:rPr>
            </w:pPr>
          </w:p>
        </w:tc>
        <w:tc>
          <w:tcPr>
            <w:tcW w:w="731" w:type="pct"/>
            <w:vAlign w:val="center"/>
          </w:tcPr>
          <w:p>
            <w:pPr>
              <w:spacing w:line="400" w:lineRule="exact"/>
              <w:jc w:val="center"/>
              <w:rPr>
                <w:rFonts w:hint="eastAsia" w:ascii="宋体" w:hAnsi="宋体" w:eastAsia="宋体" w:cs="宋体"/>
                <w:color w:val="auto"/>
                <w:sz w:val="21"/>
                <w:szCs w:val="21"/>
                <w:highlight w:val="none"/>
              </w:rPr>
            </w:pPr>
          </w:p>
        </w:tc>
        <w:tc>
          <w:tcPr>
            <w:tcW w:w="871" w:type="pct"/>
            <w:gridSpan w:val="2"/>
            <w:tcBorders>
              <w:right w:val="single" w:color="auto" w:sz="4" w:space="0"/>
            </w:tcBorders>
            <w:vAlign w:val="center"/>
          </w:tcPr>
          <w:p>
            <w:pPr>
              <w:spacing w:line="400" w:lineRule="exact"/>
              <w:jc w:val="center"/>
              <w:rPr>
                <w:rFonts w:hint="eastAsia" w:ascii="宋体" w:hAnsi="宋体" w:eastAsia="宋体" w:cs="宋体"/>
                <w:color w:val="auto"/>
                <w:sz w:val="21"/>
                <w:szCs w:val="21"/>
                <w:highlight w:val="none"/>
              </w:rPr>
            </w:pPr>
          </w:p>
        </w:tc>
        <w:tc>
          <w:tcPr>
            <w:tcW w:w="703" w:type="pct"/>
            <w:gridSpan w:val="2"/>
            <w:tcBorders>
              <w:right w:val="single" w:color="auto" w:sz="4" w:space="0"/>
            </w:tcBorders>
            <w:vAlign w:val="center"/>
          </w:tcPr>
          <w:p>
            <w:pPr>
              <w:spacing w:line="400" w:lineRule="exact"/>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416" w:type="pct"/>
            <w:vAlign w:val="center"/>
          </w:tcPr>
          <w:p>
            <w:pPr>
              <w:spacing w:line="400" w:lineRule="exact"/>
              <w:jc w:val="center"/>
              <w:rPr>
                <w:rFonts w:hint="eastAsia" w:ascii="宋体" w:hAnsi="宋体" w:eastAsia="宋体" w:cs="宋体"/>
                <w:color w:val="auto"/>
                <w:sz w:val="21"/>
                <w:szCs w:val="21"/>
                <w:highlight w:val="none"/>
              </w:rPr>
            </w:pPr>
          </w:p>
        </w:tc>
        <w:tc>
          <w:tcPr>
            <w:tcW w:w="836" w:type="pct"/>
            <w:tcBorders>
              <w:right w:val="single" w:color="auto" w:sz="4" w:space="0"/>
            </w:tcBorders>
            <w:vAlign w:val="center"/>
          </w:tcPr>
          <w:p>
            <w:pPr>
              <w:spacing w:line="400" w:lineRule="exact"/>
              <w:jc w:val="center"/>
              <w:rPr>
                <w:rFonts w:hint="eastAsia" w:ascii="宋体" w:hAnsi="宋体" w:eastAsia="宋体" w:cs="宋体"/>
                <w:color w:val="auto"/>
                <w:sz w:val="21"/>
                <w:szCs w:val="21"/>
                <w:highlight w:val="none"/>
              </w:rPr>
            </w:pPr>
          </w:p>
        </w:tc>
        <w:tc>
          <w:tcPr>
            <w:tcW w:w="766" w:type="pct"/>
            <w:tcBorders>
              <w:left w:val="single" w:color="auto" w:sz="4" w:space="0"/>
            </w:tcBorders>
            <w:vAlign w:val="center"/>
          </w:tcPr>
          <w:p>
            <w:pPr>
              <w:spacing w:line="400" w:lineRule="exact"/>
              <w:jc w:val="center"/>
              <w:rPr>
                <w:rFonts w:hint="eastAsia" w:ascii="宋体" w:hAnsi="宋体" w:eastAsia="宋体" w:cs="宋体"/>
                <w:color w:val="auto"/>
                <w:sz w:val="21"/>
                <w:szCs w:val="21"/>
                <w:highlight w:val="none"/>
              </w:rPr>
            </w:pPr>
          </w:p>
        </w:tc>
        <w:tc>
          <w:tcPr>
            <w:tcW w:w="673" w:type="pct"/>
            <w:vAlign w:val="center"/>
          </w:tcPr>
          <w:p>
            <w:pPr>
              <w:spacing w:line="400" w:lineRule="exact"/>
              <w:jc w:val="center"/>
              <w:rPr>
                <w:rFonts w:hint="eastAsia" w:ascii="宋体" w:hAnsi="宋体" w:eastAsia="宋体" w:cs="宋体"/>
                <w:color w:val="auto"/>
                <w:sz w:val="21"/>
                <w:szCs w:val="21"/>
                <w:highlight w:val="none"/>
              </w:rPr>
            </w:pPr>
          </w:p>
        </w:tc>
        <w:tc>
          <w:tcPr>
            <w:tcW w:w="731" w:type="pct"/>
            <w:vAlign w:val="center"/>
          </w:tcPr>
          <w:p>
            <w:pPr>
              <w:spacing w:line="400" w:lineRule="exact"/>
              <w:jc w:val="center"/>
              <w:rPr>
                <w:rFonts w:hint="eastAsia" w:ascii="宋体" w:hAnsi="宋体" w:eastAsia="宋体" w:cs="宋体"/>
                <w:color w:val="auto"/>
                <w:sz w:val="21"/>
                <w:szCs w:val="21"/>
                <w:highlight w:val="none"/>
              </w:rPr>
            </w:pPr>
          </w:p>
        </w:tc>
        <w:tc>
          <w:tcPr>
            <w:tcW w:w="871" w:type="pct"/>
            <w:gridSpan w:val="2"/>
            <w:tcBorders>
              <w:right w:val="single" w:color="auto" w:sz="4" w:space="0"/>
            </w:tcBorders>
            <w:vAlign w:val="center"/>
          </w:tcPr>
          <w:p>
            <w:pPr>
              <w:spacing w:line="400" w:lineRule="exact"/>
              <w:jc w:val="center"/>
              <w:rPr>
                <w:rFonts w:hint="eastAsia" w:ascii="宋体" w:hAnsi="宋体" w:eastAsia="宋体" w:cs="宋体"/>
                <w:color w:val="auto"/>
                <w:sz w:val="21"/>
                <w:szCs w:val="21"/>
                <w:highlight w:val="none"/>
              </w:rPr>
            </w:pPr>
          </w:p>
        </w:tc>
        <w:tc>
          <w:tcPr>
            <w:tcW w:w="703" w:type="pct"/>
            <w:gridSpan w:val="2"/>
            <w:tcBorders>
              <w:right w:val="single" w:color="auto" w:sz="4" w:space="0"/>
            </w:tcBorders>
            <w:vAlign w:val="center"/>
          </w:tcPr>
          <w:p>
            <w:pPr>
              <w:spacing w:line="400" w:lineRule="exact"/>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416" w:type="pct"/>
            <w:tcBorders>
              <w:right w:val="single" w:color="auto" w:sz="4" w:space="0"/>
            </w:tcBorders>
            <w:vAlign w:val="center"/>
          </w:tcPr>
          <w:p>
            <w:pPr>
              <w:spacing w:line="400" w:lineRule="exact"/>
              <w:jc w:val="center"/>
              <w:rPr>
                <w:rFonts w:hint="eastAsia" w:ascii="宋体" w:hAnsi="宋体" w:eastAsia="宋体" w:cs="宋体"/>
                <w:color w:val="auto"/>
                <w:sz w:val="21"/>
                <w:szCs w:val="21"/>
                <w:highlight w:val="none"/>
              </w:rPr>
            </w:pPr>
          </w:p>
        </w:tc>
        <w:tc>
          <w:tcPr>
            <w:tcW w:w="836" w:type="pct"/>
            <w:tcBorders>
              <w:left w:val="single" w:color="auto" w:sz="4" w:space="0"/>
              <w:right w:val="single" w:color="auto" w:sz="4" w:space="0"/>
            </w:tcBorders>
            <w:vAlign w:val="center"/>
          </w:tcPr>
          <w:p>
            <w:pPr>
              <w:spacing w:line="400" w:lineRule="exact"/>
              <w:jc w:val="center"/>
              <w:rPr>
                <w:rFonts w:hint="eastAsia" w:ascii="宋体" w:hAnsi="宋体" w:eastAsia="宋体" w:cs="宋体"/>
                <w:color w:val="auto"/>
                <w:sz w:val="21"/>
                <w:szCs w:val="21"/>
                <w:highlight w:val="none"/>
              </w:rPr>
            </w:pPr>
          </w:p>
        </w:tc>
        <w:tc>
          <w:tcPr>
            <w:tcW w:w="766" w:type="pct"/>
            <w:tcBorders>
              <w:left w:val="single" w:color="auto" w:sz="4" w:space="0"/>
              <w:right w:val="single" w:color="auto" w:sz="4" w:space="0"/>
            </w:tcBorders>
            <w:vAlign w:val="center"/>
          </w:tcPr>
          <w:p>
            <w:pPr>
              <w:spacing w:line="400" w:lineRule="exact"/>
              <w:jc w:val="center"/>
              <w:rPr>
                <w:rFonts w:hint="eastAsia" w:ascii="宋体" w:hAnsi="宋体" w:eastAsia="宋体" w:cs="宋体"/>
                <w:color w:val="auto"/>
                <w:sz w:val="21"/>
                <w:szCs w:val="21"/>
                <w:highlight w:val="none"/>
              </w:rPr>
            </w:pPr>
          </w:p>
        </w:tc>
        <w:tc>
          <w:tcPr>
            <w:tcW w:w="673" w:type="pct"/>
            <w:tcBorders>
              <w:left w:val="single" w:color="auto" w:sz="4" w:space="0"/>
              <w:right w:val="single" w:color="auto" w:sz="4" w:space="0"/>
            </w:tcBorders>
            <w:vAlign w:val="center"/>
          </w:tcPr>
          <w:p>
            <w:pPr>
              <w:spacing w:line="400" w:lineRule="exact"/>
              <w:jc w:val="center"/>
              <w:rPr>
                <w:rFonts w:hint="eastAsia" w:ascii="宋体" w:hAnsi="宋体" w:eastAsia="宋体" w:cs="宋体"/>
                <w:color w:val="auto"/>
                <w:sz w:val="21"/>
                <w:szCs w:val="21"/>
                <w:highlight w:val="none"/>
              </w:rPr>
            </w:pPr>
          </w:p>
        </w:tc>
        <w:tc>
          <w:tcPr>
            <w:tcW w:w="735" w:type="pct"/>
            <w:gridSpan w:val="2"/>
            <w:tcBorders>
              <w:left w:val="single" w:color="auto" w:sz="4" w:space="0"/>
              <w:right w:val="single" w:color="auto" w:sz="4" w:space="0"/>
            </w:tcBorders>
            <w:vAlign w:val="center"/>
          </w:tcPr>
          <w:p>
            <w:pPr>
              <w:spacing w:line="400" w:lineRule="exact"/>
              <w:jc w:val="center"/>
              <w:rPr>
                <w:rFonts w:hint="eastAsia" w:ascii="宋体" w:hAnsi="宋体" w:eastAsia="宋体" w:cs="宋体"/>
                <w:color w:val="auto"/>
                <w:sz w:val="21"/>
                <w:szCs w:val="21"/>
                <w:highlight w:val="none"/>
              </w:rPr>
            </w:pPr>
          </w:p>
        </w:tc>
        <w:tc>
          <w:tcPr>
            <w:tcW w:w="866" w:type="pct"/>
            <w:tcBorders>
              <w:left w:val="single" w:color="auto" w:sz="4" w:space="0"/>
              <w:right w:val="single" w:color="auto" w:sz="4" w:space="0"/>
            </w:tcBorders>
            <w:vAlign w:val="center"/>
          </w:tcPr>
          <w:p>
            <w:pPr>
              <w:spacing w:line="400" w:lineRule="exact"/>
              <w:jc w:val="center"/>
              <w:rPr>
                <w:rFonts w:hint="eastAsia" w:ascii="宋体" w:hAnsi="宋体" w:eastAsia="宋体" w:cs="宋体"/>
                <w:color w:val="auto"/>
                <w:sz w:val="21"/>
                <w:szCs w:val="21"/>
                <w:highlight w:val="none"/>
              </w:rPr>
            </w:pPr>
          </w:p>
        </w:tc>
        <w:tc>
          <w:tcPr>
            <w:tcW w:w="703" w:type="pct"/>
            <w:gridSpan w:val="2"/>
            <w:tcBorders>
              <w:left w:val="single" w:color="auto" w:sz="4" w:space="0"/>
              <w:right w:val="single" w:color="auto" w:sz="4" w:space="0"/>
            </w:tcBorders>
            <w:vAlign w:val="center"/>
          </w:tcPr>
          <w:p>
            <w:pPr>
              <w:spacing w:line="400" w:lineRule="exact"/>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gridAfter w:val="1"/>
          <w:wAfter w:w="7" w:type="pct"/>
          <w:cantSplit/>
          <w:trHeight w:val="600" w:hRule="atLeast"/>
          <w:jc w:val="center"/>
        </w:trPr>
        <w:tc>
          <w:tcPr>
            <w:tcW w:w="416" w:type="pct"/>
            <w:vAlign w:val="center"/>
          </w:tcPr>
          <w:p>
            <w:pPr>
              <w:spacing w:line="400" w:lineRule="exact"/>
              <w:jc w:val="center"/>
              <w:rPr>
                <w:rFonts w:hint="eastAsia" w:ascii="宋体" w:hAnsi="宋体" w:eastAsia="宋体" w:cs="宋体"/>
                <w:color w:val="auto"/>
                <w:sz w:val="21"/>
                <w:szCs w:val="21"/>
                <w:highlight w:val="none"/>
              </w:rPr>
            </w:pPr>
          </w:p>
        </w:tc>
        <w:tc>
          <w:tcPr>
            <w:tcW w:w="836" w:type="pct"/>
            <w:vAlign w:val="center"/>
          </w:tcPr>
          <w:p>
            <w:pPr>
              <w:spacing w:line="400" w:lineRule="exact"/>
              <w:jc w:val="center"/>
              <w:rPr>
                <w:rFonts w:hint="eastAsia" w:ascii="宋体" w:hAnsi="宋体" w:eastAsia="宋体" w:cs="宋体"/>
                <w:color w:val="auto"/>
                <w:sz w:val="21"/>
                <w:szCs w:val="21"/>
                <w:highlight w:val="none"/>
              </w:rPr>
            </w:pPr>
          </w:p>
        </w:tc>
        <w:tc>
          <w:tcPr>
            <w:tcW w:w="766" w:type="pct"/>
            <w:vAlign w:val="center"/>
          </w:tcPr>
          <w:p>
            <w:pPr>
              <w:spacing w:line="400" w:lineRule="exact"/>
              <w:jc w:val="center"/>
              <w:rPr>
                <w:rFonts w:hint="eastAsia" w:ascii="宋体" w:hAnsi="宋体" w:eastAsia="宋体" w:cs="宋体"/>
                <w:color w:val="auto"/>
                <w:sz w:val="21"/>
                <w:szCs w:val="21"/>
                <w:highlight w:val="none"/>
              </w:rPr>
            </w:pPr>
          </w:p>
        </w:tc>
        <w:tc>
          <w:tcPr>
            <w:tcW w:w="673" w:type="pct"/>
            <w:vAlign w:val="center"/>
          </w:tcPr>
          <w:p>
            <w:pPr>
              <w:spacing w:line="400" w:lineRule="exact"/>
              <w:jc w:val="center"/>
              <w:rPr>
                <w:rFonts w:hint="eastAsia" w:ascii="宋体" w:hAnsi="宋体" w:eastAsia="宋体" w:cs="宋体"/>
                <w:color w:val="auto"/>
                <w:sz w:val="21"/>
                <w:szCs w:val="21"/>
                <w:highlight w:val="none"/>
              </w:rPr>
            </w:pPr>
          </w:p>
        </w:tc>
        <w:tc>
          <w:tcPr>
            <w:tcW w:w="735" w:type="pct"/>
            <w:gridSpan w:val="2"/>
            <w:tcBorders>
              <w:right w:val="single" w:color="auto" w:sz="4" w:space="0"/>
            </w:tcBorders>
            <w:vAlign w:val="center"/>
          </w:tcPr>
          <w:p>
            <w:pPr>
              <w:spacing w:line="400" w:lineRule="exact"/>
              <w:jc w:val="center"/>
              <w:rPr>
                <w:rFonts w:hint="eastAsia" w:ascii="宋体" w:hAnsi="宋体" w:eastAsia="宋体" w:cs="宋体"/>
                <w:color w:val="auto"/>
                <w:sz w:val="21"/>
                <w:szCs w:val="21"/>
                <w:highlight w:val="none"/>
              </w:rPr>
            </w:pPr>
          </w:p>
        </w:tc>
        <w:tc>
          <w:tcPr>
            <w:tcW w:w="866" w:type="pct"/>
            <w:tcBorders>
              <w:left w:val="single" w:color="auto" w:sz="4" w:space="0"/>
              <w:right w:val="single" w:color="auto" w:sz="4" w:space="0"/>
            </w:tcBorders>
            <w:vAlign w:val="center"/>
          </w:tcPr>
          <w:p>
            <w:pPr>
              <w:spacing w:line="400" w:lineRule="exact"/>
              <w:jc w:val="center"/>
              <w:rPr>
                <w:rFonts w:hint="eastAsia" w:ascii="宋体" w:hAnsi="宋体" w:eastAsia="宋体" w:cs="宋体"/>
                <w:color w:val="auto"/>
                <w:sz w:val="21"/>
                <w:szCs w:val="21"/>
                <w:highlight w:val="none"/>
              </w:rPr>
            </w:pPr>
          </w:p>
        </w:tc>
        <w:tc>
          <w:tcPr>
            <w:tcW w:w="696" w:type="pct"/>
            <w:tcBorders>
              <w:left w:val="single" w:color="auto" w:sz="4" w:space="0"/>
              <w:right w:val="single" w:color="auto" w:sz="4" w:space="0"/>
            </w:tcBorders>
            <w:vAlign w:val="center"/>
          </w:tcPr>
          <w:p>
            <w:pPr>
              <w:spacing w:line="400" w:lineRule="exact"/>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gridAfter w:val="1"/>
          <w:wAfter w:w="7" w:type="pct"/>
          <w:cantSplit/>
          <w:trHeight w:val="600" w:hRule="atLeast"/>
          <w:jc w:val="center"/>
        </w:trPr>
        <w:tc>
          <w:tcPr>
            <w:tcW w:w="416" w:type="pct"/>
            <w:vAlign w:val="center"/>
          </w:tcPr>
          <w:p>
            <w:pPr>
              <w:spacing w:line="400" w:lineRule="exact"/>
              <w:jc w:val="center"/>
              <w:rPr>
                <w:rFonts w:hint="eastAsia" w:ascii="宋体" w:hAnsi="宋体" w:eastAsia="宋体" w:cs="宋体"/>
                <w:color w:val="auto"/>
                <w:sz w:val="21"/>
                <w:szCs w:val="21"/>
                <w:highlight w:val="none"/>
              </w:rPr>
            </w:pPr>
          </w:p>
        </w:tc>
        <w:tc>
          <w:tcPr>
            <w:tcW w:w="836" w:type="pct"/>
            <w:vAlign w:val="center"/>
          </w:tcPr>
          <w:p>
            <w:pPr>
              <w:spacing w:line="400" w:lineRule="exact"/>
              <w:jc w:val="center"/>
              <w:rPr>
                <w:rFonts w:hint="eastAsia" w:ascii="宋体" w:hAnsi="宋体" w:eastAsia="宋体" w:cs="宋体"/>
                <w:color w:val="auto"/>
                <w:sz w:val="21"/>
                <w:szCs w:val="21"/>
                <w:highlight w:val="none"/>
              </w:rPr>
            </w:pPr>
          </w:p>
        </w:tc>
        <w:tc>
          <w:tcPr>
            <w:tcW w:w="766" w:type="pct"/>
            <w:vAlign w:val="center"/>
          </w:tcPr>
          <w:p>
            <w:pPr>
              <w:spacing w:line="400" w:lineRule="exact"/>
              <w:jc w:val="center"/>
              <w:rPr>
                <w:rFonts w:hint="eastAsia" w:ascii="宋体" w:hAnsi="宋体" w:eastAsia="宋体" w:cs="宋体"/>
                <w:color w:val="auto"/>
                <w:sz w:val="21"/>
                <w:szCs w:val="21"/>
                <w:highlight w:val="none"/>
              </w:rPr>
            </w:pPr>
          </w:p>
        </w:tc>
        <w:tc>
          <w:tcPr>
            <w:tcW w:w="673" w:type="pct"/>
            <w:vAlign w:val="center"/>
          </w:tcPr>
          <w:p>
            <w:pPr>
              <w:spacing w:line="400" w:lineRule="exact"/>
              <w:jc w:val="center"/>
              <w:rPr>
                <w:rFonts w:hint="eastAsia" w:ascii="宋体" w:hAnsi="宋体" w:eastAsia="宋体" w:cs="宋体"/>
                <w:color w:val="auto"/>
                <w:sz w:val="21"/>
                <w:szCs w:val="21"/>
                <w:highlight w:val="none"/>
              </w:rPr>
            </w:pPr>
          </w:p>
        </w:tc>
        <w:tc>
          <w:tcPr>
            <w:tcW w:w="735" w:type="pct"/>
            <w:gridSpan w:val="2"/>
            <w:tcBorders>
              <w:right w:val="single" w:color="auto" w:sz="4" w:space="0"/>
            </w:tcBorders>
            <w:vAlign w:val="center"/>
          </w:tcPr>
          <w:p>
            <w:pPr>
              <w:spacing w:line="400" w:lineRule="exact"/>
              <w:jc w:val="center"/>
              <w:rPr>
                <w:rFonts w:hint="eastAsia" w:ascii="宋体" w:hAnsi="宋体" w:eastAsia="宋体" w:cs="宋体"/>
                <w:color w:val="auto"/>
                <w:sz w:val="21"/>
                <w:szCs w:val="21"/>
                <w:highlight w:val="none"/>
              </w:rPr>
            </w:pPr>
          </w:p>
        </w:tc>
        <w:tc>
          <w:tcPr>
            <w:tcW w:w="866" w:type="pct"/>
            <w:tcBorders>
              <w:left w:val="single" w:color="auto" w:sz="4" w:space="0"/>
              <w:right w:val="single" w:color="auto" w:sz="4" w:space="0"/>
            </w:tcBorders>
            <w:vAlign w:val="center"/>
          </w:tcPr>
          <w:p>
            <w:pPr>
              <w:spacing w:line="400" w:lineRule="exact"/>
              <w:jc w:val="center"/>
              <w:rPr>
                <w:rFonts w:hint="eastAsia" w:ascii="宋体" w:hAnsi="宋体" w:eastAsia="宋体" w:cs="宋体"/>
                <w:color w:val="auto"/>
                <w:sz w:val="21"/>
                <w:szCs w:val="21"/>
                <w:highlight w:val="none"/>
              </w:rPr>
            </w:pPr>
          </w:p>
        </w:tc>
        <w:tc>
          <w:tcPr>
            <w:tcW w:w="696" w:type="pct"/>
            <w:tcBorders>
              <w:left w:val="single" w:color="auto" w:sz="4" w:space="0"/>
              <w:right w:val="single" w:color="auto" w:sz="4" w:space="0"/>
            </w:tcBorders>
            <w:vAlign w:val="center"/>
          </w:tcPr>
          <w:p>
            <w:pPr>
              <w:spacing w:line="400" w:lineRule="exact"/>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gridAfter w:val="1"/>
          <w:wAfter w:w="7" w:type="pct"/>
          <w:cantSplit/>
          <w:trHeight w:val="600" w:hRule="atLeast"/>
          <w:jc w:val="center"/>
        </w:trPr>
        <w:tc>
          <w:tcPr>
            <w:tcW w:w="416" w:type="pct"/>
            <w:vAlign w:val="center"/>
          </w:tcPr>
          <w:p>
            <w:pPr>
              <w:spacing w:line="400" w:lineRule="exact"/>
              <w:jc w:val="center"/>
              <w:rPr>
                <w:rFonts w:hint="eastAsia" w:ascii="宋体" w:hAnsi="宋体" w:eastAsia="宋体" w:cs="宋体"/>
                <w:color w:val="auto"/>
                <w:sz w:val="21"/>
                <w:szCs w:val="21"/>
                <w:highlight w:val="none"/>
              </w:rPr>
            </w:pPr>
          </w:p>
        </w:tc>
        <w:tc>
          <w:tcPr>
            <w:tcW w:w="836" w:type="pct"/>
            <w:vAlign w:val="center"/>
          </w:tcPr>
          <w:p>
            <w:pPr>
              <w:spacing w:line="400" w:lineRule="exact"/>
              <w:jc w:val="center"/>
              <w:rPr>
                <w:rFonts w:hint="eastAsia" w:ascii="宋体" w:hAnsi="宋体" w:eastAsia="宋体" w:cs="宋体"/>
                <w:color w:val="auto"/>
                <w:sz w:val="21"/>
                <w:szCs w:val="21"/>
                <w:highlight w:val="none"/>
              </w:rPr>
            </w:pPr>
          </w:p>
        </w:tc>
        <w:tc>
          <w:tcPr>
            <w:tcW w:w="766" w:type="pct"/>
            <w:vAlign w:val="center"/>
          </w:tcPr>
          <w:p>
            <w:pPr>
              <w:spacing w:line="400" w:lineRule="exact"/>
              <w:jc w:val="center"/>
              <w:rPr>
                <w:rFonts w:hint="eastAsia" w:ascii="宋体" w:hAnsi="宋体" w:eastAsia="宋体" w:cs="宋体"/>
                <w:color w:val="auto"/>
                <w:sz w:val="21"/>
                <w:szCs w:val="21"/>
                <w:highlight w:val="none"/>
              </w:rPr>
            </w:pPr>
          </w:p>
        </w:tc>
        <w:tc>
          <w:tcPr>
            <w:tcW w:w="673" w:type="pct"/>
            <w:vAlign w:val="center"/>
          </w:tcPr>
          <w:p>
            <w:pPr>
              <w:spacing w:line="400" w:lineRule="exact"/>
              <w:jc w:val="center"/>
              <w:rPr>
                <w:rFonts w:hint="eastAsia" w:ascii="宋体" w:hAnsi="宋体" w:eastAsia="宋体" w:cs="宋体"/>
                <w:color w:val="auto"/>
                <w:sz w:val="21"/>
                <w:szCs w:val="21"/>
                <w:highlight w:val="none"/>
              </w:rPr>
            </w:pPr>
          </w:p>
        </w:tc>
        <w:tc>
          <w:tcPr>
            <w:tcW w:w="735" w:type="pct"/>
            <w:gridSpan w:val="2"/>
            <w:tcBorders>
              <w:right w:val="single" w:color="auto" w:sz="4" w:space="0"/>
            </w:tcBorders>
            <w:vAlign w:val="center"/>
          </w:tcPr>
          <w:p>
            <w:pPr>
              <w:spacing w:line="400" w:lineRule="exact"/>
              <w:jc w:val="center"/>
              <w:rPr>
                <w:rFonts w:hint="eastAsia" w:ascii="宋体" w:hAnsi="宋体" w:eastAsia="宋体" w:cs="宋体"/>
                <w:color w:val="auto"/>
                <w:sz w:val="21"/>
                <w:szCs w:val="21"/>
                <w:highlight w:val="none"/>
              </w:rPr>
            </w:pPr>
          </w:p>
        </w:tc>
        <w:tc>
          <w:tcPr>
            <w:tcW w:w="866" w:type="pct"/>
            <w:tcBorders>
              <w:left w:val="single" w:color="auto" w:sz="4" w:space="0"/>
              <w:right w:val="single" w:color="auto" w:sz="4" w:space="0"/>
            </w:tcBorders>
            <w:vAlign w:val="center"/>
          </w:tcPr>
          <w:p>
            <w:pPr>
              <w:spacing w:line="400" w:lineRule="exact"/>
              <w:jc w:val="center"/>
              <w:rPr>
                <w:rFonts w:hint="eastAsia" w:ascii="宋体" w:hAnsi="宋体" w:eastAsia="宋体" w:cs="宋体"/>
                <w:color w:val="auto"/>
                <w:sz w:val="21"/>
                <w:szCs w:val="21"/>
                <w:highlight w:val="none"/>
              </w:rPr>
            </w:pPr>
          </w:p>
        </w:tc>
        <w:tc>
          <w:tcPr>
            <w:tcW w:w="696" w:type="pct"/>
            <w:tcBorders>
              <w:left w:val="single" w:color="auto" w:sz="4" w:space="0"/>
              <w:right w:val="single" w:color="auto" w:sz="4" w:space="0"/>
            </w:tcBorders>
            <w:vAlign w:val="center"/>
          </w:tcPr>
          <w:p>
            <w:pPr>
              <w:spacing w:line="400" w:lineRule="exact"/>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gridAfter w:val="1"/>
          <w:wAfter w:w="7" w:type="pct"/>
          <w:cantSplit/>
          <w:trHeight w:val="510" w:hRule="atLeast"/>
          <w:jc w:val="center"/>
        </w:trPr>
        <w:tc>
          <w:tcPr>
            <w:tcW w:w="416" w:type="pct"/>
            <w:tcBorders>
              <w:bottom w:val="single" w:color="auto" w:sz="4" w:space="0"/>
            </w:tcBorders>
            <w:vAlign w:val="center"/>
          </w:tcPr>
          <w:p>
            <w:pPr>
              <w:spacing w:line="400" w:lineRule="exact"/>
              <w:jc w:val="center"/>
              <w:rPr>
                <w:rFonts w:hint="eastAsia" w:ascii="宋体" w:hAnsi="宋体" w:eastAsia="宋体" w:cs="宋体"/>
                <w:color w:val="auto"/>
                <w:sz w:val="21"/>
                <w:szCs w:val="21"/>
                <w:highlight w:val="none"/>
              </w:rPr>
            </w:pPr>
          </w:p>
        </w:tc>
        <w:tc>
          <w:tcPr>
            <w:tcW w:w="836" w:type="pct"/>
            <w:tcBorders>
              <w:bottom w:val="single" w:color="auto" w:sz="4" w:space="0"/>
            </w:tcBorders>
            <w:vAlign w:val="center"/>
          </w:tcPr>
          <w:p>
            <w:pPr>
              <w:spacing w:line="400" w:lineRule="exact"/>
              <w:jc w:val="center"/>
              <w:rPr>
                <w:rFonts w:hint="eastAsia" w:ascii="宋体" w:hAnsi="宋体" w:eastAsia="宋体" w:cs="宋体"/>
                <w:color w:val="auto"/>
                <w:sz w:val="21"/>
                <w:szCs w:val="21"/>
                <w:highlight w:val="none"/>
              </w:rPr>
            </w:pPr>
          </w:p>
        </w:tc>
        <w:tc>
          <w:tcPr>
            <w:tcW w:w="766" w:type="pct"/>
            <w:tcBorders>
              <w:bottom w:val="single" w:color="auto" w:sz="4" w:space="0"/>
            </w:tcBorders>
            <w:vAlign w:val="center"/>
          </w:tcPr>
          <w:p>
            <w:pPr>
              <w:spacing w:line="400" w:lineRule="exact"/>
              <w:jc w:val="center"/>
              <w:rPr>
                <w:rFonts w:hint="eastAsia" w:ascii="宋体" w:hAnsi="宋体" w:eastAsia="宋体" w:cs="宋体"/>
                <w:color w:val="auto"/>
                <w:sz w:val="21"/>
                <w:szCs w:val="21"/>
                <w:highlight w:val="none"/>
              </w:rPr>
            </w:pPr>
          </w:p>
        </w:tc>
        <w:tc>
          <w:tcPr>
            <w:tcW w:w="673" w:type="pct"/>
            <w:tcBorders>
              <w:bottom w:val="single" w:color="auto" w:sz="4" w:space="0"/>
            </w:tcBorders>
            <w:vAlign w:val="center"/>
          </w:tcPr>
          <w:p>
            <w:pPr>
              <w:spacing w:line="400" w:lineRule="exact"/>
              <w:jc w:val="center"/>
              <w:rPr>
                <w:rFonts w:hint="eastAsia" w:ascii="宋体" w:hAnsi="宋体" w:eastAsia="宋体" w:cs="宋体"/>
                <w:color w:val="auto"/>
                <w:sz w:val="21"/>
                <w:szCs w:val="21"/>
                <w:highlight w:val="none"/>
              </w:rPr>
            </w:pPr>
          </w:p>
        </w:tc>
        <w:tc>
          <w:tcPr>
            <w:tcW w:w="735" w:type="pct"/>
            <w:gridSpan w:val="2"/>
            <w:tcBorders>
              <w:bottom w:val="single" w:color="auto" w:sz="4" w:space="0"/>
              <w:right w:val="single" w:color="auto" w:sz="4" w:space="0"/>
            </w:tcBorders>
            <w:vAlign w:val="center"/>
          </w:tcPr>
          <w:p>
            <w:pPr>
              <w:spacing w:line="400" w:lineRule="exact"/>
              <w:jc w:val="center"/>
              <w:rPr>
                <w:rFonts w:hint="eastAsia" w:ascii="宋体" w:hAnsi="宋体" w:eastAsia="宋体" w:cs="宋体"/>
                <w:color w:val="auto"/>
                <w:sz w:val="21"/>
                <w:szCs w:val="21"/>
                <w:highlight w:val="none"/>
              </w:rPr>
            </w:pPr>
          </w:p>
        </w:tc>
        <w:tc>
          <w:tcPr>
            <w:tcW w:w="866" w:type="pct"/>
            <w:tcBorders>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 w:val="21"/>
                <w:szCs w:val="21"/>
                <w:highlight w:val="none"/>
              </w:rPr>
            </w:pPr>
          </w:p>
        </w:tc>
        <w:tc>
          <w:tcPr>
            <w:tcW w:w="696" w:type="pct"/>
            <w:tcBorders>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gridAfter w:val="1"/>
          <w:wAfter w:w="7" w:type="pct"/>
          <w:cantSplit/>
          <w:trHeight w:val="615" w:hRule="atLeast"/>
          <w:jc w:val="center"/>
        </w:trPr>
        <w:tc>
          <w:tcPr>
            <w:tcW w:w="416" w:type="pct"/>
            <w:tcBorders>
              <w:top w:val="single" w:color="auto" w:sz="4" w:space="0"/>
              <w:bottom w:val="single" w:color="auto" w:sz="4" w:space="0"/>
            </w:tcBorders>
            <w:vAlign w:val="center"/>
          </w:tcPr>
          <w:p>
            <w:pPr>
              <w:spacing w:line="400" w:lineRule="exact"/>
              <w:jc w:val="center"/>
              <w:rPr>
                <w:rFonts w:hint="eastAsia" w:ascii="宋体" w:hAnsi="宋体" w:eastAsia="宋体" w:cs="宋体"/>
                <w:color w:val="auto"/>
                <w:sz w:val="21"/>
                <w:szCs w:val="21"/>
                <w:highlight w:val="none"/>
              </w:rPr>
            </w:pPr>
          </w:p>
        </w:tc>
        <w:tc>
          <w:tcPr>
            <w:tcW w:w="836" w:type="pct"/>
            <w:tcBorders>
              <w:top w:val="single" w:color="auto" w:sz="4" w:space="0"/>
              <w:bottom w:val="single" w:color="auto" w:sz="4" w:space="0"/>
            </w:tcBorders>
            <w:vAlign w:val="center"/>
          </w:tcPr>
          <w:p>
            <w:pPr>
              <w:spacing w:line="400" w:lineRule="exact"/>
              <w:jc w:val="center"/>
              <w:rPr>
                <w:rFonts w:hint="eastAsia" w:ascii="宋体" w:hAnsi="宋体" w:eastAsia="宋体" w:cs="宋体"/>
                <w:color w:val="auto"/>
                <w:sz w:val="21"/>
                <w:szCs w:val="21"/>
                <w:highlight w:val="none"/>
              </w:rPr>
            </w:pPr>
          </w:p>
        </w:tc>
        <w:tc>
          <w:tcPr>
            <w:tcW w:w="766" w:type="pct"/>
            <w:tcBorders>
              <w:top w:val="single" w:color="auto" w:sz="4" w:space="0"/>
              <w:bottom w:val="single" w:color="auto" w:sz="4" w:space="0"/>
            </w:tcBorders>
            <w:vAlign w:val="center"/>
          </w:tcPr>
          <w:p>
            <w:pPr>
              <w:spacing w:line="400" w:lineRule="exact"/>
              <w:jc w:val="center"/>
              <w:rPr>
                <w:rFonts w:hint="eastAsia" w:ascii="宋体" w:hAnsi="宋体" w:eastAsia="宋体" w:cs="宋体"/>
                <w:color w:val="auto"/>
                <w:sz w:val="21"/>
                <w:szCs w:val="21"/>
                <w:highlight w:val="none"/>
              </w:rPr>
            </w:pPr>
          </w:p>
        </w:tc>
        <w:tc>
          <w:tcPr>
            <w:tcW w:w="673" w:type="pct"/>
            <w:tcBorders>
              <w:top w:val="single" w:color="auto" w:sz="4" w:space="0"/>
              <w:bottom w:val="single" w:color="auto" w:sz="4" w:space="0"/>
            </w:tcBorders>
            <w:vAlign w:val="center"/>
          </w:tcPr>
          <w:p>
            <w:pPr>
              <w:spacing w:line="400" w:lineRule="exact"/>
              <w:jc w:val="center"/>
              <w:rPr>
                <w:rFonts w:hint="eastAsia" w:ascii="宋体" w:hAnsi="宋体" w:eastAsia="宋体" w:cs="宋体"/>
                <w:color w:val="auto"/>
                <w:sz w:val="21"/>
                <w:szCs w:val="21"/>
                <w:highlight w:val="none"/>
              </w:rPr>
            </w:pPr>
          </w:p>
        </w:tc>
        <w:tc>
          <w:tcPr>
            <w:tcW w:w="735" w:type="pct"/>
            <w:gridSpan w:val="2"/>
            <w:tcBorders>
              <w:top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 w:val="21"/>
                <w:szCs w:val="21"/>
                <w:highlight w:val="none"/>
              </w:rPr>
            </w:pPr>
          </w:p>
        </w:tc>
        <w:tc>
          <w:tcPr>
            <w:tcW w:w="866"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 w:val="21"/>
                <w:szCs w:val="21"/>
                <w:highlight w:val="none"/>
              </w:rPr>
            </w:pPr>
          </w:p>
        </w:tc>
        <w:tc>
          <w:tcPr>
            <w:tcW w:w="696"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gridAfter w:val="1"/>
          <w:wAfter w:w="7" w:type="pct"/>
          <w:cantSplit/>
          <w:trHeight w:val="615" w:hRule="atLeast"/>
          <w:jc w:val="center"/>
        </w:trPr>
        <w:tc>
          <w:tcPr>
            <w:tcW w:w="416" w:type="pct"/>
            <w:tcBorders>
              <w:top w:val="single" w:color="auto" w:sz="4" w:space="0"/>
              <w:bottom w:val="single" w:color="auto" w:sz="4" w:space="0"/>
            </w:tcBorders>
            <w:vAlign w:val="center"/>
          </w:tcPr>
          <w:p>
            <w:pPr>
              <w:spacing w:line="400" w:lineRule="exact"/>
              <w:jc w:val="center"/>
              <w:rPr>
                <w:rFonts w:hint="eastAsia" w:ascii="宋体" w:hAnsi="宋体" w:eastAsia="宋体" w:cs="宋体"/>
                <w:color w:val="auto"/>
                <w:sz w:val="21"/>
                <w:szCs w:val="21"/>
                <w:highlight w:val="none"/>
              </w:rPr>
            </w:pPr>
          </w:p>
        </w:tc>
        <w:tc>
          <w:tcPr>
            <w:tcW w:w="836" w:type="pct"/>
            <w:tcBorders>
              <w:top w:val="single" w:color="auto" w:sz="4" w:space="0"/>
              <w:bottom w:val="single" w:color="auto" w:sz="4" w:space="0"/>
            </w:tcBorders>
            <w:vAlign w:val="center"/>
          </w:tcPr>
          <w:p>
            <w:pPr>
              <w:spacing w:line="400" w:lineRule="exact"/>
              <w:jc w:val="center"/>
              <w:rPr>
                <w:rFonts w:hint="eastAsia" w:ascii="宋体" w:hAnsi="宋体" w:eastAsia="宋体" w:cs="宋体"/>
                <w:color w:val="auto"/>
                <w:sz w:val="21"/>
                <w:szCs w:val="21"/>
                <w:highlight w:val="none"/>
              </w:rPr>
            </w:pPr>
          </w:p>
        </w:tc>
        <w:tc>
          <w:tcPr>
            <w:tcW w:w="766" w:type="pct"/>
            <w:tcBorders>
              <w:top w:val="single" w:color="auto" w:sz="4" w:space="0"/>
              <w:bottom w:val="single" w:color="auto" w:sz="4" w:space="0"/>
            </w:tcBorders>
            <w:vAlign w:val="center"/>
          </w:tcPr>
          <w:p>
            <w:pPr>
              <w:spacing w:line="400" w:lineRule="exact"/>
              <w:jc w:val="center"/>
              <w:rPr>
                <w:rFonts w:hint="eastAsia" w:ascii="宋体" w:hAnsi="宋体" w:eastAsia="宋体" w:cs="宋体"/>
                <w:color w:val="auto"/>
                <w:sz w:val="21"/>
                <w:szCs w:val="21"/>
                <w:highlight w:val="none"/>
              </w:rPr>
            </w:pPr>
          </w:p>
        </w:tc>
        <w:tc>
          <w:tcPr>
            <w:tcW w:w="673" w:type="pct"/>
            <w:tcBorders>
              <w:top w:val="single" w:color="auto" w:sz="4" w:space="0"/>
              <w:bottom w:val="single" w:color="auto" w:sz="4" w:space="0"/>
            </w:tcBorders>
            <w:vAlign w:val="center"/>
          </w:tcPr>
          <w:p>
            <w:pPr>
              <w:spacing w:line="400" w:lineRule="exact"/>
              <w:jc w:val="center"/>
              <w:rPr>
                <w:rFonts w:hint="eastAsia" w:ascii="宋体" w:hAnsi="宋体" w:eastAsia="宋体" w:cs="宋体"/>
                <w:color w:val="auto"/>
                <w:sz w:val="21"/>
                <w:szCs w:val="21"/>
                <w:highlight w:val="none"/>
              </w:rPr>
            </w:pPr>
          </w:p>
        </w:tc>
        <w:tc>
          <w:tcPr>
            <w:tcW w:w="735" w:type="pct"/>
            <w:gridSpan w:val="2"/>
            <w:tcBorders>
              <w:top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 w:val="21"/>
                <w:szCs w:val="21"/>
                <w:highlight w:val="none"/>
              </w:rPr>
            </w:pPr>
          </w:p>
        </w:tc>
        <w:tc>
          <w:tcPr>
            <w:tcW w:w="866"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 w:val="21"/>
                <w:szCs w:val="21"/>
                <w:highlight w:val="none"/>
              </w:rPr>
            </w:pPr>
          </w:p>
        </w:tc>
        <w:tc>
          <w:tcPr>
            <w:tcW w:w="696"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gridAfter w:val="1"/>
          <w:wAfter w:w="7" w:type="pct"/>
          <w:cantSplit/>
          <w:trHeight w:val="450" w:hRule="atLeast"/>
          <w:jc w:val="center"/>
        </w:trPr>
        <w:tc>
          <w:tcPr>
            <w:tcW w:w="416" w:type="pct"/>
            <w:tcBorders>
              <w:top w:val="single" w:color="auto" w:sz="4" w:space="0"/>
              <w:bottom w:val="single" w:color="auto" w:sz="4" w:space="0"/>
            </w:tcBorders>
            <w:vAlign w:val="center"/>
          </w:tcPr>
          <w:p>
            <w:pPr>
              <w:spacing w:line="400" w:lineRule="exact"/>
              <w:jc w:val="center"/>
              <w:rPr>
                <w:rFonts w:hint="eastAsia" w:ascii="宋体" w:hAnsi="宋体" w:eastAsia="宋体" w:cs="宋体"/>
                <w:color w:val="auto"/>
                <w:sz w:val="21"/>
                <w:szCs w:val="21"/>
                <w:highlight w:val="none"/>
              </w:rPr>
            </w:pPr>
          </w:p>
        </w:tc>
        <w:tc>
          <w:tcPr>
            <w:tcW w:w="836" w:type="pct"/>
            <w:tcBorders>
              <w:top w:val="single" w:color="auto" w:sz="4" w:space="0"/>
              <w:bottom w:val="single" w:color="auto" w:sz="4" w:space="0"/>
            </w:tcBorders>
            <w:vAlign w:val="center"/>
          </w:tcPr>
          <w:p>
            <w:pPr>
              <w:spacing w:line="400" w:lineRule="exact"/>
              <w:jc w:val="center"/>
              <w:rPr>
                <w:rFonts w:hint="eastAsia" w:ascii="宋体" w:hAnsi="宋体" w:eastAsia="宋体" w:cs="宋体"/>
                <w:color w:val="auto"/>
                <w:sz w:val="21"/>
                <w:szCs w:val="21"/>
                <w:highlight w:val="none"/>
              </w:rPr>
            </w:pPr>
          </w:p>
        </w:tc>
        <w:tc>
          <w:tcPr>
            <w:tcW w:w="766" w:type="pct"/>
            <w:tcBorders>
              <w:top w:val="single" w:color="auto" w:sz="4" w:space="0"/>
              <w:bottom w:val="single" w:color="auto" w:sz="4" w:space="0"/>
            </w:tcBorders>
            <w:vAlign w:val="center"/>
          </w:tcPr>
          <w:p>
            <w:pPr>
              <w:spacing w:line="400" w:lineRule="exact"/>
              <w:jc w:val="center"/>
              <w:rPr>
                <w:rFonts w:hint="eastAsia" w:ascii="宋体" w:hAnsi="宋体" w:eastAsia="宋体" w:cs="宋体"/>
                <w:color w:val="auto"/>
                <w:sz w:val="21"/>
                <w:szCs w:val="21"/>
                <w:highlight w:val="none"/>
              </w:rPr>
            </w:pPr>
          </w:p>
        </w:tc>
        <w:tc>
          <w:tcPr>
            <w:tcW w:w="673" w:type="pct"/>
            <w:tcBorders>
              <w:top w:val="single" w:color="auto" w:sz="4" w:space="0"/>
              <w:bottom w:val="single" w:color="auto" w:sz="4" w:space="0"/>
            </w:tcBorders>
            <w:vAlign w:val="center"/>
          </w:tcPr>
          <w:p>
            <w:pPr>
              <w:spacing w:line="400" w:lineRule="exact"/>
              <w:jc w:val="center"/>
              <w:rPr>
                <w:rFonts w:hint="eastAsia" w:ascii="宋体" w:hAnsi="宋体" w:eastAsia="宋体" w:cs="宋体"/>
                <w:color w:val="auto"/>
                <w:sz w:val="21"/>
                <w:szCs w:val="21"/>
                <w:highlight w:val="none"/>
              </w:rPr>
            </w:pPr>
          </w:p>
        </w:tc>
        <w:tc>
          <w:tcPr>
            <w:tcW w:w="735" w:type="pct"/>
            <w:gridSpan w:val="2"/>
            <w:tcBorders>
              <w:top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 w:val="21"/>
                <w:szCs w:val="21"/>
                <w:highlight w:val="none"/>
              </w:rPr>
            </w:pPr>
          </w:p>
        </w:tc>
        <w:tc>
          <w:tcPr>
            <w:tcW w:w="866"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 w:val="21"/>
                <w:szCs w:val="21"/>
                <w:highlight w:val="none"/>
              </w:rPr>
            </w:pPr>
          </w:p>
        </w:tc>
        <w:tc>
          <w:tcPr>
            <w:tcW w:w="696"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gridAfter w:val="1"/>
          <w:wAfter w:w="7" w:type="pct"/>
          <w:cantSplit/>
          <w:trHeight w:val="435" w:hRule="atLeast"/>
          <w:jc w:val="center"/>
        </w:trPr>
        <w:tc>
          <w:tcPr>
            <w:tcW w:w="416" w:type="pct"/>
            <w:tcBorders>
              <w:top w:val="single" w:color="auto" w:sz="4" w:space="0"/>
            </w:tcBorders>
            <w:vAlign w:val="center"/>
          </w:tcPr>
          <w:p>
            <w:pPr>
              <w:spacing w:line="400" w:lineRule="exact"/>
              <w:jc w:val="center"/>
              <w:rPr>
                <w:rFonts w:hint="eastAsia" w:ascii="宋体" w:hAnsi="宋体" w:eastAsia="宋体" w:cs="宋体"/>
                <w:color w:val="auto"/>
                <w:sz w:val="21"/>
                <w:szCs w:val="21"/>
                <w:highlight w:val="none"/>
              </w:rPr>
            </w:pPr>
          </w:p>
        </w:tc>
        <w:tc>
          <w:tcPr>
            <w:tcW w:w="836" w:type="pct"/>
            <w:tcBorders>
              <w:top w:val="single" w:color="auto" w:sz="4" w:space="0"/>
            </w:tcBorders>
            <w:vAlign w:val="center"/>
          </w:tcPr>
          <w:p>
            <w:pPr>
              <w:spacing w:line="400" w:lineRule="exact"/>
              <w:jc w:val="center"/>
              <w:rPr>
                <w:rFonts w:hint="eastAsia" w:ascii="宋体" w:hAnsi="宋体" w:eastAsia="宋体" w:cs="宋体"/>
                <w:color w:val="auto"/>
                <w:sz w:val="21"/>
                <w:szCs w:val="21"/>
                <w:highlight w:val="none"/>
              </w:rPr>
            </w:pPr>
          </w:p>
        </w:tc>
        <w:tc>
          <w:tcPr>
            <w:tcW w:w="766" w:type="pct"/>
            <w:tcBorders>
              <w:top w:val="single" w:color="auto" w:sz="4" w:space="0"/>
            </w:tcBorders>
            <w:vAlign w:val="center"/>
          </w:tcPr>
          <w:p>
            <w:pPr>
              <w:spacing w:line="400" w:lineRule="exact"/>
              <w:jc w:val="center"/>
              <w:rPr>
                <w:rFonts w:hint="eastAsia" w:ascii="宋体" w:hAnsi="宋体" w:eastAsia="宋体" w:cs="宋体"/>
                <w:color w:val="auto"/>
                <w:sz w:val="21"/>
                <w:szCs w:val="21"/>
                <w:highlight w:val="none"/>
              </w:rPr>
            </w:pPr>
          </w:p>
        </w:tc>
        <w:tc>
          <w:tcPr>
            <w:tcW w:w="673" w:type="pct"/>
            <w:tcBorders>
              <w:top w:val="single" w:color="auto" w:sz="4" w:space="0"/>
            </w:tcBorders>
            <w:vAlign w:val="center"/>
          </w:tcPr>
          <w:p>
            <w:pPr>
              <w:spacing w:line="400" w:lineRule="exact"/>
              <w:jc w:val="center"/>
              <w:rPr>
                <w:rFonts w:hint="eastAsia" w:ascii="宋体" w:hAnsi="宋体" w:eastAsia="宋体" w:cs="宋体"/>
                <w:color w:val="auto"/>
                <w:sz w:val="21"/>
                <w:szCs w:val="21"/>
                <w:highlight w:val="none"/>
              </w:rPr>
            </w:pPr>
          </w:p>
        </w:tc>
        <w:tc>
          <w:tcPr>
            <w:tcW w:w="735" w:type="pct"/>
            <w:gridSpan w:val="2"/>
            <w:tcBorders>
              <w:top w:val="single" w:color="auto" w:sz="4" w:space="0"/>
              <w:right w:val="single" w:color="auto" w:sz="4" w:space="0"/>
            </w:tcBorders>
            <w:vAlign w:val="center"/>
          </w:tcPr>
          <w:p>
            <w:pPr>
              <w:spacing w:line="400" w:lineRule="exact"/>
              <w:jc w:val="center"/>
              <w:rPr>
                <w:rFonts w:hint="eastAsia" w:ascii="宋体" w:hAnsi="宋体" w:eastAsia="宋体" w:cs="宋体"/>
                <w:color w:val="auto"/>
                <w:sz w:val="21"/>
                <w:szCs w:val="21"/>
                <w:highlight w:val="none"/>
              </w:rPr>
            </w:pPr>
          </w:p>
        </w:tc>
        <w:tc>
          <w:tcPr>
            <w:tcW w:w="866" w:type="pct"/>
            <w:tcBorders>
              <w:top w:val="single" w:color="auto" w:sz="4" w:space="0"/>
              <w:left w:val="single" w:color="auto" w:sz="4" w:space="0"/>
              <w:right w:val="single" w:color="auto" w:sz="4" w:space="0"/>
            </w:tcBorders>
            <w:vAlign w:val="center"/>
          </w:tcPr>
          <w:p>
            <w:pPr>
              <w:spacing w:line="400" w:lineRule="exact"/>
              <w:jc w:val="center"/>
              <w:rPr>
                <w:rFonts w:hint="eastAsia" w:ascii="宋体" w:hAnsi="宋体" w:eastAsia="宋体" w:cs="宋体"/>
                <w:color w:val="auto"/>
                <w:sz w:val="21"/>
                <w:szCs w:val="21"/>
                <w:highlight w:val="none"/>
              </w:rPr>
            </w:pPr>
          </w:p>
        </w:tc>
        <w:tc>
          <w:tcPr>
            <w:tcW w:w="696" w:type="pct"/>
            <w:tcBorders>
              <w:top w:val="single" w:color="auto" w:sz="4" w:space="0"/>
              <w:left w:val="single" w:color="auto" w:sz="4" w:space="0"/>
              <w:right w:val="single" w:color="auto" w:sz="4" w:space="0"/>
            </w:tcBorders>
            <w:vAlign w:val="center"/>
          </w:tcPr>
          <w:p>
            <w:pPr>
              <w:spacing w:line="400" w:lineRule="exact"/>
              <w:jc w:val="center"/>
              <w:rPr>
                <w:rFonts w:hint="eastAsia" w:ascii="宋体" w:hAnsi="宋体" w:eastAsia="宋体" w:cs="宋体"/>
                <w:color w:val="auto"/>
                <w:sz w:val="21"/>
                <w:szCs w:val="21"/>
                <w:highlight w:val="none"/>
              </w:rPr>
            </w:pPr>
          </w:p>
        </w:tc>
      </w:tr>
    </w:tbl>
    <w:p>
      <w:pPr>
        <w:adjustRightInd w:val="0"/>
        <w:spacing w:line="480" w:lineRule="auto"/>
        <w:ind w:firstLine="480" w:firstLineChars="200"/>
        <w:jc w:val="left"/>
        <w:rPr>
          <w:rFonts w:ascii="新宋体" w:hAnsi="新宋体" w:eastAsia="新宋体"/>
          <w:color w:val="auto"/>
          <w:sz w:val="24"/>
          <w:highlight w:val="none"/>
        </w:rPr>
      </w:pPr>
      <w:bookmarkStart w:id="152" w:name="_Toc217446091"/>
    </w:p>
    <w:p>
      <w:pPr>
        <w:adjustRightInd w:val="0"/>
        <w:spacing w:line="480" w:lineRule="auto"/>
        <w:ind w:firstLine="480" w:firstLineChars="200"/>
        <w:jc w:val="left"/>
        <w:rPr>
          <w:rFonts w:ascii="新宋体" w:hAnsi="新宋体" w:eastAsia="新宋体"/>
          <w:color w:val="auto"/>
          <w:sz w:val="24"/>
          <w:highlight w:val="none"/>
        </w:rPr>
      </w:pPr>
    </w:p>
    <w:p>
      <w:pPr>
        <w:adjustRightIn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供应商名称（盖章）：</w:t>
      </w:r>
      <w:r>
        <w:rPr>
          <w:rFonts w:hint="eastAsia" w:ascii="宋体" w:hAnsi="宋体"/>
          <w:color w:val="auto"/>
          <w:sz w:val="24"/>
          <w:highlight w:val="none"/>
          <w:u w:val="single"/>
        </w:rPr>
        <w:t xml:space="preserve">                      </w:t>
      </w:r>
    </w:p>
    <w:p>
      <w:pPr>
        <w:adjustRightIn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法定代表人或授权代表（签字或加盖个人名章）：</w:t>
      </w:r>
      <w:r>
        <w:rPr>
          <w:rFonts w:hint="eastAsia" w:ascii="宋体" w:hAnsi="宋体"/>
          <w:color w:val="auto"/>
          <w:sz w:val="24"/>
          <w:highlight w:val="none"/>
          <w:u w:val="single"/>
        </w:rPr>
        <w:t xml:space="preserve">           </w:t>
      </w:r>
    </w:p>
    <w:p>
      <w:pPr>
        <w:spacing w:line="360" w:lineRule="auto"/>
        <w:ind w:firstLine="480" w:firstLineChars="200"/>
        <w:rPr>
          <w:rFonts w:ascii="新宋体" w:hAnsi="新宋体" w:eastAsia="新宋体"/>
          <w:color w:val="auto"/>
          <w:sz w:val="24"/>
          <w:highlight w:val="none"/>
        </w:rPr>
      </w:pPr>
      <w:r>
        <w:rPr>
          <w:rFonts w:hint="eastAsia" w:ascii="宋体" w:hAnsi="宋体"/>
          <w:color w:val="auto"/>
          <w:sz w:val="24"/>
          <w:highlight w:val="none"/>
        </w:rPr>
        <w:t>日    期：</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ascii="宋体" w:hAnsi="宋体"/>
          <w:color w:val="auto"/>
          <w:sz w:val="24"/>
          <w:highlight w:val="none"/>
        </w:rPr>
        <w:t>年</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ascii="宋体" w:hAnsi="宋体"/>
          <w:color w:val="auto"/>
          <w:sz w:val="24"/>
          <w:highlight w:val="none"/>
        </w:rPr>
        <w:t>月</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ascii="宋体" w:hAnsi="宋体"/>
          <w:color w:val="auto"/>
          <w:sz w:val="24"/>
          <w:highlight w:val="none"/>
        </w:rPr>
        <w:t>日</w:t>
      </w:r>
    </w:p>
    <w:p>
      <w:pPr>
        <w:rPr>
          <w:color w:val="auto"/>
          <w:highlight w:val="none"/>
        </w:rPr>
      </w:pPr>
    </w:p>
    <w:p>
      <w:pPr>
        <w:pStyle w:val="5"/>
        <w:spacing w:before="0" w:after="0" w:line="360" w:lineRule="auto"/>
        <w:jc w:val="center"/>
        <w:rPr>
          <w:color w:val="auto"/>
          <w:highlight w:val="none"/>
        </w:rPr>
      </w:pPr>
      <w:r>
        <w:rPr>
          <w:rFonts w:hint="eastAsia"/>
          <w:color w:val="auto"/>
          <w:kern w:val="0"/>
          <w:highlight w:val="none"/>
        </w:rPr>
        <w:br w:type="page"/>
      </w:r>
      <w:bookmarkStart w:id="153" w:name="_Toc19674_WPSOffice_Level2"/>
      <w:bookmarkStart w:id="154" w:name="_Toc13243_WPSOffice_Level2"/>
      <w:r>
        <w:rPr>
          <w:rFonts w:hint="eastAsia"/>
          <w:color w:val="auto"/>
          <w:kern w:val="0"/>
          <w:highlight w:val="none"/>
          <w:lang w:val="en-US" w:eastAsia="zh-CN"/>
        </w:rPr>
        <w:t>七</w:t>
      </w:r>
      <w:r>
        <w:rPr>
          <w:rFonts w:hint="eastAsia"/>
          <w:color w:val="auto"/>
          <w:highlight w:val="none"/>
        </w:rPr>
        <w:t>、供应商本项目管理、技术、服务人员情况表</w:t>
      </w:r>
      <w:bookmarkEnd w:id="152"/>
      <w:bookmarkEnd w:id="153"/>
      <w:bookmarkEnd w:id="154"/>
    </w:p>
    <w:p>
      <w:pPr>
        <w:snapToGrid w:val="0"/>
        <w:spacing w:line="360" w:lineRule="auto"/>
        <w:rPr>
          <w:rFonts w:hint="eastAsia" w:ascii="宋体" w:hAnsi="宋体" w:cs="仿宋_GB2312"/>
          <w:bCs/>
          <w:color w:val="auto"/>
          <w:szCs w:val="21"/>
          <w:highlight w:val="none"/>
        </w:rPr>
      </w:pPr>
    </w:p>
    <w:p>
      <w:pPr>
        <w:snapToGrid w:val="0"/>
        <w:spacing w:line="360" w:lineRule="auto"/>
        <w:rPr>
          <w:rFonts w:ascii="宋体" w:hAnsi="宋体" w:cs="仿宋_GB2312"/>
          <w:bCs/>
          <w:color w:val="auto"/>
          <w:szCs w:val="21"/>
          <w:highlight w:val="none"/>
          <w:u w:val="single"/>
        </w:rPr>
      </w:pPr>
      <w:r>
        <w:rPr>
          <w:rFonts w:hint="eastAsia" w:ascii="宋体" w:hAnsi="宋体" w:cs="仿宋_GB2312"/>
          <w:bCs/>
          <w:color w:val="auto"/>
          <w:szCs w:val="21"/>
          <w:highlight w:val="none"/>
        </w:rPr>
        <w:t>项目名称：</w:t>
      </w:r>
      <w:r>
        <w:rPr>
          <w:rFonts w:hint="eastAsia" w:ascii="宋体" w:hAnsi="宋体"/>
          <w:bCs/>
          <w:color w:val="auto"/>
          <w:sz w:val="24"/>
          <w:highlight w:val="none"/>
          <w:u w:val="single"/>
        </w:rPr>
        <w:t xml:space="preserve">            </w:t>
      </w:r>
    </w:p>
    <w:p>
      <w:pPr>
        <w:snapToGrid w:val="0"/>
        <w:spacing w:line="360" w:lineRule="auto"/>
        <w:rPr>
          <w:rFonts w:ascii="宋体" w:hAnsi="宋体" w:cs="仿宋_GB2312"/>
          <w:bCs/>
          <w:color w:val="auto"/>
          <w:szCs w:val="21"/>
          <w:highlight w:val="none"/>
        </w:rPr>
      </w:pPr>
      <w:r>
        <w:rPr>
          <w:rFonts w:hint="eastAsia" w:ascii="宋体" w:hAnsi="宋体" w:cs="仿宋_GB2312"/>
          <w:bCs/>
          <w:color w:val="auto"/>
          <w:szCs w:val="21"/>
          <w:highlight w:val="none"/>
        </w:rPr>
        <w:t>项目编号：</w:t>
      </w:r>
      <w:r>
        <w:rPr>
          <w:rFonts w:hint="eastAsia" w:ascii="宋体" w:hAnsi="宋体"/>
          <w:bCs/>
          <w:color w:val="auto"/>
          <w:sz w:val="24"/>
          <w:highlight w:val="none"/>
          <w:u w:val="single"/>
        </w:rPr>
        <w:t xml:space="preserve">            </w:t>
      </w:r>
    </w:p>
    <w:tbl>
      <w:tblPr>
        <w:tblStyle w:val="19"/>
        <w:tblW w:w="4998" w:type="pct"/>
        <w:jc w:val="center"/>
        <w:tblLayout w:type="autofit"/>
        <w:tblCellMar>
          <w:top w:w="0" w:type="dxa"/>
          <w:left w:w="0" w:type="dxa"/>
          <w:bottom w:w="0" w:type="dxa"/>
          <w:right w:w="0" w:type="dxa"/>
        </w:tblCellMar>
      </w:tblPr>
      <w:tblGrid>
        <w:gridCol w:w="831"/>
        <w:gridCol w:w="1943"/>
        <w:gridCol w:w="1099"/>
        <w:gridCol w:w="1245"/>
        <w:gridCol w:w="1268"/>
        <w:gridCol w:w="1104"/>
        <w:gridCol w:w="1645"/>
      </w:tblGrid>
      <w:tr>
        <w:tblPrEx>
          <w:tblCellMar>
            <w:top w:w="0" w:type="dxa"/>
            <w:left w:w="0" w:type="dxa"/>
            <w:bottom w:w="0" w:type="dxa"/>
            <w:right w:w="0" w:type="dxa"/>
          </w:tblCellMar>
        </w:tblPrEx>
        <w:trPr>
          <w:trHeight w:val="614" w:hRule="atLeast"/>
          <w:jc w:val="center"/>
        </w:trPr>
        <w:tc>
          <w:tcPr>
            <w:tcW w:w="455" w:type="pct"/>
            <w:vMerge w:val="restart"/>
            <w:tcBorders>
              <w:top w:val="single" w:color="auto" w:sz="4" w:space="0"/>
              <w:left w:val="single" w:color="auto" w:sz="4" w:space="0"/>
              <w:right w:val="single" w:color="auto" w:sz="4" w:space="0"/>
            </w:tcBorders>
            <w:vAlign w:val="center"/>
          </w:tcPr>
          <w:p>
            <w:pPr>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序号</w:t>
            </w:r>
          </w:p>
        </w:tc>
        <w:tc>
          <w:tcPr>
            <w:tcW w:w="1063" w:type="pct"/>
            <w:vMerge w:val="restart"/>
            <w:tcBorders>
              <w:top w:val="single" w:color="auto" w:sz="4" w:space="0"/>
              <w:left w:val="nil"/>
              <w:right w:val="single" w:color="auto" w:sz="4" w:space="0"/>
            </w:tcBorders>
            <w:vAlign w:val="center"/>
          </w:tcPr>
          <w:p>
            <w:pPr>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职务</w:t>
            </w:r>
          </w:p>
        </w:tc>
        <w:tc>
          <w:tcPr>
            <w:tcW w:w="601" w:type="pct"/>
            <w:vMerge w:val="restart"/>
            <w:tcBorders>
              <w:top w:val="single" w:color="auto" w:sz="4" w:space="0"/>
              <w:left w:val="nil"/>
              <w:right w:val="single" w:color="auto" w:sz="4" w:space="0"/>
            </w:tcBorders>
            <w:vAlign w:val="center"/>
          </w:tcPr>
          <w:p>
            <w:pPr>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姓名</w:t>
            </w:r>
          </w:p>
        </w:tc>
        <w:tc>
          <w:tcPr>
            <w:tcW w:w="1375" w:type="pct"/>
            <w:gridSpan w:val="2"/>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执业或职业资格</w:t>
            </w:r>
          </w:p>
        </w:tc>
        <w:tc>
          <w:tcPr>
            <w:tcW w:w="1504" w:type="pct"/>
            <w:gridSpan w:val="2"/>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职称</w:t>
            </w:r>
          </w:p>
        </w:tc>
      </w:tr>
      <w:tr>
        <w:tblPrEx>
          <w:tblCellMar>
            <w:top w:w="0" w:type="dxa"/>
            <w:left w:w="0" w:type="dxa"/>
            <w:bottom w:w="0" w:type="dxa"/>
            <w:right w:w="0" w:type="dxa"/>
          </w:tblCellMar>
        </w:tblPrEx>
        <w:trPr>
          <w:trHeight w:val="614" w:hRule="atLeast"/>
          <w:jc w:val="center"/>
        </w:trPr>
        <w:tc>
          <w:tcPr>
            <w:tcW w:w="455" w:type="pct"/>
            <w:vMerge w:val="continue"/>
            <w:tcBorders>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1"/>
                <w:szCs w:val="21"/>
                <w:highlight w:val="none"/>
              </w:rPr>
            </w:pPr>
          </w:p>
        </w:tc>
        <w:tc>
          <w:tcPr>
            <w:tcW w:w="1063" w:type="pct"/>
            <w:vMerge w:val="continue"/>
            <w:tcBorders>
              <w:left w:val="nil"/>
              <w:bottom w:val="single" w:color="auto" w:sz="4" w:space="0"/>
              <w:right w:val="single" w:color="auto" w:sz="4" w:space="0"/>
            </w:tcBorders>
            <w:vAlign w:val="center"/>
          </w:tcPr>
          <w:p>
            <w:pPr>
              <w:spacing w:line="360" w:lineRule="auto"/>
              <w:jc w:val="center"/>
              <w:rPr>
                <w:rFonts w:ascii="宋体" w:hAnsi="宋体" w:cs="宋体"/>
                <w:color w:val="auto"/>
                <w:sz w:val="21"/>
                <w:szCs w:val="21"/>
                <w:highlight w:val="none"/>
              </w:rPr>
            </w:pPr>
          </w:p>
        </w:tc>
        <w:tc>
          <w:tcPr>
            <w:tcW w:w="601" w:type="pct"/>
            <w:vMerge w:val="continue"/>
            <w:tcBorders>
              <w:left w:val="nil"/>
              <w:bottom w:val="single" w:color="auto" w:sz="4" w:space="0"/>
              <w:right w:val="single" w:color="auto" w:sz="4" w:space="0"/>
            </w:tcBorders>
            <w:vAlign w:val="center"/>
          </w:tcPr>
          <w:p>
            <w:pPr>
              <w:spacing w:line="360" w:lineRule="auto"/>
              <w:jc w:val="center"/>
              <w:rPr>
                <w:rFonts w:ascii="宋体" w:hAnsi="宋体" w:cs="宋体"/>
                <w:color w:val="auto"/>
                <w:sz w:val="21"/>
                <w:szCs w:val="21"/>
                <w:highlight w:val="none"/>
              </w:rPr>
            </w:pPr>
          </w:p>
        </w:tc>
        <w:tc>
          <w:tcPr>
            <w:tcW w:w="681" w:type="pct"/>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证书名称</w:t>
            </w:r>
          </w:p>
        </w:tc>
        <w:tc>
          <w:tcPr>
            <w:tcW w:w="694" w:type="pct"/>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证书编号</w:t>
            </w:r>
          </w:p>
        </w:tc>
        <w:tc>
          <w:tcPr>
            <w:tcW w:w="604" w:type="pct"/>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职称专业</w:t>
            </w:r>
          </w:p>
        </w:tc>
        <w:tc>
          <w:tcPr>
            <w:tcW w:w="899" w:type="pct"/>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级别</w:t>
            </w:r>
          </w:p>
        </w:tc>
      </w:tr>
      <w:tr>
        <w:trPr>
          <w:trHeight w:val="589" w:hRule="atLeast"/>
          <w:jc w:val="center"/>
        </w:trPr>
        <w:tc>
          <w:tcPr>
            <w:tcW w:w="455"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1.1</w:t>
            </w:r>
          </w:p>
        </w:tc>
        <w:tc>
          <w:tcPr>
            <w:tcW w:w="1063" w:type="pct"/>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项目负责人</w:t>
            </w:r>
          </w:p>
          <w:p>
            <w:pPr>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（项目经理）</w:t>
            </w:r>
          </w:p>
        </w:tc>
        <w:tc>
          <w:tcPr>
            <w:tcW w:w="601" w:type="pct"/>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color w:val="auto"/>
                <w:sz w:val="21"/>
                <w:szCs w:val="21"/>
                <w:highlight w:val="none"/>
              </w:rPr>
            </w:pPr>
          </w:p>
        </w:tc>
        <w:tc>
          <w:tcPr>
            <w:tcW w:w="681" w:type="pct"/>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color w:val="auto"/>
                <w:sz w:val="21"/>
                <w:szCs w:val="21"/>
                <w:highlight w:val="none"/>
              </w:rPr>
            </w:pPr>
          </w:p>
        </w:tc>
        <w:tc>
          <w:tcPr>
            <w:tcW w:w="694" w:type="pct"/>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color w:val="auto"/>
                <w:sz w:val="21"/>
                <w:szCs w:val="21"/>
                <w:highlight w:val="none"/>
              </w:rPr>
            </w:pPr>
          </w:p>
        </w:tc>
        <w:tc>
          <w:tcPr>
            <w:tcW w:w="604" w:type="pct"/>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color w:val="auto"/>
                <w:sz w:val="21"/>
                <w:szCs w:val="21"/>
                <w:highlight w:val="none"/>
              </w:rPr>
            </w:pPr>
          </w:p>
        </w:tc>
        <w:tc>
          <w:tcPr>
            <w:tcW w:w="899" w:type="pct"/>
            <w:tcBorders>
              <w:top w:val="single" w:color="auto" w:sz="4" w:space="0"/>
              <w:left w:val="nil"/>
              <w:bottom w:val="single" w:color="auto" w:sz="4" w:space="0"/>
              <w:right w:val="single" w:color="auto" w:sz="4" w:space="0"/>
            </w:tcBorders>
          </w:tcPr>
          <w:p>
            <w:pPr>
              <w:spacing w:line="360" w:lineRule="auto"/>
              <w:jc w:val="center"/>
              <w:rPr>
                <w:rFonts w:ascii="宋体" w:hAnsi="宋体" w:cs="宋体"/>
                <w:color w:val="auto"/>
                <w:sz w:val="21"/>
                <w:szCs w:val="21"/>
                <w:highlight w:val="none"/>
              </w:rPr>
            </w:pPr>
          </w:p>
        </w:tc>
      </w:tr>
      <w:tr>
        <w:tblPrEx>
          <w:tblCellMar>
            <w:top w:w="0" w:type="dxa"/>
            <w:left w:w="0" w:type="dxa"/>
            <w:bottom w:w="0" w:type="dxa"/>
            <w:right w:w="0" w:type="dxa"/>
          </w:tblCellMar>
        </w:tblPrEx>
        <w:trPr>
          <w:trHeight w:val="589" w:hRule="atLeast"/>
          <w:jc w:val="center"/>
        </w:trPr>
        <w:tc>
          <w:tcPr>
            <w:tcW w:w="455"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1.2</w:t>
            </w:r>
          </w:p>
        </w:tc>
        <w:tc>
          <w:tcPr>
            <w:tcW w:w="1063" w:type="pct"/>
            <w:tcBorders>
              <w:top w:val="single" w:color="auto" w:sz="4" w:space="0"/>
              <w:left w:val="nil"/>
              <w:bottom w:val="single" w:color="auto" w:sz="4" w:space="0"/>
              <w:right w:val="single" w:color="auto" w:sz="4" w:space="0"/>
            </w:tcBorders>
            <w:vAlign w:val="center"/>
          </w:tcPr>
          <w:p>
            <w:pPr>
              <w:spacing w:line="360" w:lineRule="auto"/>
              <w:jc w:val="left"/>
              <w:rPr>
                <w:rFonts w:ascii="宋体" w:hAnsi="宋体" w:cs="宋体"/>
                <w:color w:val="auto"/>
                <w:sz w:val="21"/>
                <w:szCs w:val="21"/>
                <w:highlight w:val="none"/>
              </w:rPr>
            </w:pPr>
            <w:r>
              <w:rPr>
                <w:rFonts w:hint="eastAsia" w:ascii="宋体" w:hAnsi="宋体" w:cs="宋体"/>
                <w:color w:val="auto"/>
                <w:sz w:val="21"/>
                <w:szCs w:val="21"/>
                <w:highlight w:val="none"/>
              </w:rPr>
              <w:t xml:space="preserve"> 项目技术负责人</w:t>
            </w:r>
          </w:p>
        </w:tc>
        <w:tc>
          <w:tcPr>
            <w:tcW w:w="601" w:type="pct"/>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color w:val="auto"/>
                <w:sz w:val="21"/>
                <w:szCs w:val="21"/>
                <w:highlight w:val="none"/>
              </w:rPr>
            </w:pPr>
          </w:p>
        </w:tc>
        <w:tc>
          <w:tcPr>
            <w:tcW w:w="681" w:type="pct"/>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color w:val="auto"/>
                <w:sz w:val="21"/>
                <w:szCs w:val="21"/>
                <w:highlight w:val="none"/>
              </w:rPr>
            </w:pPr>
          </w:p>
        </w:tc>
        <w:tc>
          <w:tcPr>
            <w:tcW w:w="694" w:type="pct"/>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color w:val="auto"/>
                <w:sz w:val="21"/>
                <w:szCs w:val="21"/>
                <w:highlight w:val="none"/>
              </w:rPr>
            </w:pPr>
          </w:p>
        </w:tc>
        <w:tc>
          <w:tcPr>
            <w:tcW w:w="604" w:type="pct"/>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color w:val="auto"/>
                <w:sz w:val="21"/>
                <w:szCs w:val="21"/>
                <w:highlight w:val="none"/>
              </w:rPr>
            </w:pPr>
          </w:p>
        </w:tc>
        <w:tc>
          <w:tcPr>
            <w:tcW w:w="899" w:type="pct"/>
            <w:tcBorders>
              <w:top w:val="single" w:color="auto" w:sz="4" w:space="0"/>
              <w:left w:val="nil"/>
              <w:bottom w:val="single" w:color="auto" w:sz="4" w:space="0"/>
              <w:right w:val="single" w:color="auto" w:sz="4" w:space="0"/>
            </w:tcBorders>
          </w:tcPr>
          <w:p>
            <w:pPr>
              <w:spacing w:line="360" w:lineRule="auto"/>
              <w:jc w:val="center"/>
              <w:rPr>
                <w:rFonts w:ascii="宋体" w:hAnsi="宋体" w:cs="宋体"/>
                <w:color w:val="auto"/>
                <w:sz w:val="21"/>
                <w:szCs w:val="21"/>
                <w:highlight w:val="none"/>
              </w:rPr>
            </w:pPr>
          </w:p>
        </w:tc>
      </w:tr>
      <w:tr>
        <w:tblPrEx>
          <w:tblCellMar>
            <w:top w:w="0" w:type="dxa"/>
            <w:left w:w="0" w:type="dxa"/>
            <w:bottom w:w="0" w:type="dxa"/>
            <w:right w:w="0" w:type="dxa"/>
          </w:tblCellMar>
        </w:tblPrEx>
        <w:trPr>
          <w:trHeight w:val="589" w:hRule="atLeast"/>
          <w:jc w:val="center"/>
        </w:trPr>
        <w:tc>
          <w:tcPr>
            <w:tcW w:w="455"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1"/>
                <w:szCs w:val="21"/>
                <w:highlight w:val="none"/>
              </w:rPr>
            </w:pPr>
          </w:p>
        </w:tc>
        <w:tc>
          <w:tcPr>
            <w:tcW w:w="1063" w:type="pct"/>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w:t>
            </w:r>
          </w:p>
        </w:tc>
        <w:tc>
          <w:tcPr>
            <w:tcW w:w="601" w:type="pct"/>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color w:val="auto"/>
                <w:sz w:val="21"/>
                <w:szCs w:val="21"/>
                <w:highlight w:val="none"/>
              </w:rPr>
            </w:pPr>
          </w:p>
        </w:tc>
        <w:tc>
          <w:tcPr>
            <w:tcW w:w="681" w:type="pct"/>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color w:val="auto"/>
                <w:sz w:val="21"/>
                <w:szCs w:val="21"/>
                <w:highlight w:val="none"/>
              </w:rPr>
            </w:pPr>
          </w:p>
        </w:tc>
        <w:tc>
          <w:tcPr>
            <w:tcW w:w="694" w:type="pct"/>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color w:val="auto"/>
                <w:sz w:val="21"/>
                <w:szCs w:val="21"/>
                <w:highlight w:val="none"/>
              </w:rPr>
            </w:pPr>
          </w:p>
        </w:tc>
        <w:tc>
          <w:tcPr>
            <w:tcW w:w="604" w:type="pct"/>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color w:val="auto"/>
                <w:sz w:val="21"/>
                <w:szCs w:val="21"/>
                <w:highlight w:val="none"/>
              </w:rPr>
            </w:pPr>
          </w:p>
        </w:tc>
        <w:tc>
          <w:tcPr>
            <w:tcW w:w="899" w:type="pct"/>
            <w:tcBorders>
              <w:top w:val="single" w:color="auto" w:sz="4" w:space="0"/>
              <w:left w:val="nil"/>
              <w:bottom w:val="single" w:color="auto" w:sz="4" w:space="0"/>
              <w:right w:val="single" w:color="auto" w:sz="4" w:space="0"/>
            </w:tcBorders>
          </w:tcPr>
          <w:p>
            <w:pPr>
              <w:spacing w:line="360" w:lineRule="auto"/>
              <w:jc w:val="center"/>
              <w:rPr>
                <w:rFonts w:ascii="宋体" w:hAnsi="宋体" w:cs="宋体"/>
                <w:color w:val="auto"/>
                <w:sz w:val="21"/>
                <w:szCs w:val="21"/>
                <w:highlight w:val="none"/>
              </w:rPr>
            </w:pPr>
          </w:p>
        </w:tc>
      </w:tr>
    </w:tbl>
    <w:p>
      <w:pPr>
        <w:adjustRightInd w:val="0"/>
        <w:spacing w:line="480" w:lineRule="auto"/>
        <w:ind w:firstLine="482" w:firstLineChars="200"/>
        <w:jc w:val="left"/>
        <w:rPr>
          <w:rFonts w:ascii="新宋体" w:hAnsi="新宋体" w:eastAsia="新宋体"/>
          <w:b/>
          <w:color w:val="auto"/>
          <w:sz w:val="24"/>
          <w:highlight w:val="none"/>
        </w:rPr>
      </w:pPr>
    </w:p>
    <w:p>
      <w:pPr>
        <w:adjustRightInd w:val="0"/>
        <w:spacing w:line="480" w:lineRule="auto"/>
        <w:ind w:firstLine="482" w:firstLineChars="200"/>
        <w:jc w:val="left"/>
        <w:rPr>
          <w:rFonts w:ascii="新宋体" w:hAnsi="新宋体" w:eastAsia="新宋体"/>
          <w:b/>
          <w:color w:val="auto"/>
          <w:sz w:val="24"/>
          <w:highlight w:val="none"/>
        </w:rPr>
      </w:pPr>
    </w:p>
    <w:p>
      <w:pPr>
        <w:adjustRightInd w:val="0"/>
        <w:spacing w:line="360" w:lineRule="auto"/>
        <w:ind w:firstLine="480" w:firstLineChars="200"/>
        <w:jc w:val="left"/>
        <w:rPr>
          <w:rFonts w:ascii="宋体" w:hAnsi="宋体" w:cs="宋体"/>
          <w:color w:val="auto"/>
          <w:sz w:val="24"/>
          <w:highlight w:val="none"/>
        </w:rPr>
      </w:pPr>
      <w:r>
        <w:rPr>
          <w:rFonts w:hint="eastAsia" w:ascii="宋体" w:hAnsi="宋体" w:cs="宋体"/>
          <w:bCs/>
          <w:color w:val="auto"/>
          <w:sz w:val="24"/>
          <w:highlight w:val="none"/>
        </w:rPr>
        <w:t>注：1、本格式为参考格式，供应商可根据实际情况进行调整</w:t>
      </w:r>
      <w:r>
        <w:rPr>
          <w:rFonts w:hint="eastAsia" w:ascii="宋体" w:hAnsi="宋体" w:cs="宋体"/>
          <w:color w:val="auto"/>
          <w:sz w:val="24"/>
          <w:highlight w:val="none"/>
        </w:rPr>
        <w:t>。</w:t>
      </w:r>
    </w:p>
    <w:p>
      <w:pPr>
        <w:adjustRightInd w:val="0"/>
        <w:spacing w:line="480" w:lineRule="auto"/>
        <w:ind w:firstLine="960" w:firstLineChars="400"/>
        <w:jc w:val="left"/>
        <w:rPr>
          <w:rFonts w:ascii="新宋体" w:hAnsi="新宋体" w:eastAsia="新宋体"/>
          <w:color w:val="auto"/>
          <w:sz w:val="24"/>
          <w:highlight w:val="none"/>
        </w:rPr>
      </w:pPr>
      <w:r>
        <w:rPr>
          <w:rFonts w:hint="eastAsia" w:ascii="新宋体" w:hAnsi="新宋体" w:eastAsia="新宋体"/>
          <w:color w:val="auto"/>
          <w:sz w:val="24"/>
          <w:highlight w:val="none"/>
        </w:rPr>
        <w:t>2、本项目管理成员为项目负责人（项目经理）及项目技术负责人。</w:t>
      </w:r>
    </w:p>
    <w:p>
      <w:pPr>
        <w:adjustRightInd w:val="0"/>
        <w:spacing w:line="480" w:lineRule="auto"/>
        <w:ind w:firstLine="480" w:firstLineChars="200"/>
        <w:jc w:val="left"/>
        <w:rPr>
          <w:rFonts w:ascii="新宋体" w:hAnsi="新宋体" w:eastAsia="新宋体"/>
          <w:color w:val="auto"/>
          <w:sz w:val="24"/>
          <w:highlight w:val="none"/>
        </w:rPr>
      </w:pPr>
    </w:p>
    <w:p>
      <w:pPr>
        <w:pStyle w:val="2"/>
        <w:rPr>
          <w:color w:val="auto"/>
          <w:highlight w:val="none"/>
        </w:rPr>
      </w:pPr>
    </w:p>
    <w:p>
      <w:pPr>
        <w:adjustRightIn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供应商名称（盖章）：</w:t>
      </w:r>
      <w:r>
        <w:rPr>
          <w:rFonts w:hint="eastAsia" w:ascii="宋体" w:hAnsi="宋体"/>
          <w:color w:val="auto"/>
          <w:sz w:val="24"/>
          <w:highlight w:val="none"/>
          <w:u w:val="single"/>
        </w:rPr>
        <w:t xml:space="preserve">                      </w:t>
      </w:r>
    </w:p>
    <w:p>
      <w:pPr>
        <w:adjustRightIn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法定代表人或授权代表（签字或加盖个人名章）：</w:t>
      </w:r>
      <w:r>
        <w:rPr>
          <w:rFonts w:hint="eastAsia" w:ascii="宋体" w:hAnsi="宋体"/>
          <w:color w:val="auto"/>
          <w:sz w:val="24"/>
          <w:highlight w:val="none"/>
          <w:u w:val="single"/>
        </w:rPr>
        <w:t xml:space="preserve">           </w:t>
      </w:r>
    </w:p>
    <w:p>
      <w:pPr>
        <w:spacing w:line="360" w:lineRule="auto"/>
        <w:ind w:firstLine="480" w:firstLineChars="200"/>
        <w:rPr>
          <w:rFonts w:ascii="新宋体" w:hAnsi="新宋体" w:eastAsia="新宋体"/>
          <w:color w:val="auto"/>
          <w:sz w:val="24"/>
          <w:highlight w:val="none"/>
        </w:rPr>
      </w:pPr>
      <w:r>
        <w:rPr>
          <w:rFonts w:hint="eastAsia" w:ascii="宋体" w:hAnsi="宋体"/>
          <w:color w:val="auto"/>
          <w:sz w:val="24"/>
          <w:highlight w:val="none"/>
        </w:rPr>
        <w:t>日    期：</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ascii="宋体" w:hAnsi="宋体"/>
          <w:color w:val="auto"/>
          <w:sz w:val="24"/>
          <w:highlight w:val="none"/>
        </w:rPr>
        <w:t>年</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ascii="宋体" w:hAnsi="宋体"/>
          <w:color w:val="auto"/>
          <w:sz w:val="24"/>
          <w:highlight w:val="none"/>
        </w:rPr>
        <w:t>月</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ascii="宋体" w:hAnsi="宋体"/>
          <w:color w:val="auto"/>
          <w:sz w:val="24"/>
          <w:highlight w:val="none"/>
        </w:rPr>
        <w:t>日</w:t>
      </w:r>
    </w:p>
    <w:p>
      <w:pPr>
        <w:spacing w:line="400" w:lineRule="exact"/>
        <w:rPr>
          <w:rFonts w:ascii="宋体" w:hAnsi="宋体"/>
          <w:bCs/>
          <w:color w:val="auto"/>
          <w:sz w:val="24"/>
          <w:highlight w:val="none"/>
        </w:rPr>
      </w:pPr>
    </w:p>
    <w:p>
      <w:pPr>
        <w:adjustRightInd w:val="0"/>
        <w:spacing w:line="400" w:lineRule="exact"/>
        <w:ind w:firstLine="560" w:firstLineChars="200"/>
        <w:jc w:val="left"/>
        <w:rPr>
          <w:rFonts w:ascii="宋体" w:hAnsi="宋体"/>
          <w:color w:val="auto"/>
          <w:sz w:val="28"/>
          <w:highlight w:val="none"/>
        </w:rPr>
        <w:sectPr>
          <w:pgSz w:w="11850" w:h="16783"/>
          <w:pgMar w:top="1440" w:right="1304" w:bottom="1440" w:left="1417" w:header="851" w:footer="992" w:gutter="0"/>
          <w:pgNumType w:fmt="numberInDash"/>
          <w:cols w:space="0" w:num="1"/>
          <w:docGrid w:type="lines" w:linePitch="312" w:charSpace="0"/>
        </w:sectPr>
      </w:pPr>
    </w:p>
    <w:p>
      <w:pPr>
        <w:pStyle w:val="5"/>
        <w:spacing w:before="0" w:after="0" w:line="360" w:lineRule="auto"/>
        <w:jc w:val="center"/>
        <w:rPr>
          <w:color w:val="auto"/>
          <w:highlight w:val="none"/>
        </w:rPr>
      </w:pPr>
      <w:bookmarkStart w:id="155" w:name="_Toc29279_WPSOffice_Level2"/>
      <w:bookmarkStart w:id="156" w:name="_Toc4498_WPSOffice_Level2"/>
      <w:r>
        <w:rPr>
          <w:rFonts w:hint="eastAsia"/>
          <w:color w:val="auto"/>
          <w:highlight w:val="none"/>
          <w:lang w:val="en-US" w:eastAsia="zh-CN"/>
        </w:rPr>
        <w:t>八</w:t>
      </w:r>
      <w:r>
        <w:rPr>
          <w:rFonts w:hint="eastAsia"/>
          <w:color w:val="auto"/>
          <w:highlight w:val="none"/>
        </w:rPr>
        <w:t>、关于知识产权的承诺函</w:t>
      </w:r>
    </w:p>
    <w:p>
      <w:pPr>
        <w:pStyle w:val="13"/>
        <w:spacing w:after="0" w:line="360" w:lineRule="auto"/>
        <w:ind w:left="0" w:leftChars="0"/>
        <w:jc w:val="left"/>
        <w:rPr>
          <w:rFonts w:hint="eastAsia" w:ascii="宋体" w:hAnsi="宋体"/>
          <w:bCs/>
          <w:color w:val="auto"/>
          <w:sz w:val="24"/>
          <w:highlight w:val="none"/>
        </w:rPr>
      </w:pPr>
    </w:p>
    <w:p>
      <w:pPr>
        <w:spacing w:line="360" w:lineRule="auto"/>
        <w:rPr>
          <w:rFonts w:ascii="宋体" w:hAnsi="宋体"/>
          <w:color w:val="auto"/>
          <w:sz w:val="24"/>
          <w:highlight w:val="none"/>
        </w:rPr>
      </w:pPr>
      <w:r>
        <w:rPr>
          <w:rFonts w:hint="eastAsia" w:ascii="宋体" w:hAnsi="宋体"/>
          <w:color w:val="auto"/>
          <w:sz w:val="24"/>
          <w:highlight w:val="none"/>
        </w:rPr>
        <w:t>四川易通天和招标代理有限公司：</w:t>
      </w:r>
    </w:p>
    <w:p>
      <w:pPr>
        <w:pStyle w:val="13"/>
        <w:spacing w:after="0" w:line="360" w:lineRule="auto"/>
        <w:ind w:left="0" w:leftChars="0" w:firstLine="480" w:firstLineChars="200"/>
        <w:jc w:val="left"/>
        <w:rPr>
          <w:rFonts w:ascii="宋体" w:hAnsi="宋体"/>
          <w:bCs/>
          <w:color w:val="auto"/>
          <w:sz w:val="24"/>
          <w:highlight w:val="none"/>
        </w:rPr>
      </w:pPr>
      <w:r>
        <w:rPr>
          <w:rFonts w:hint="eastAsia" w:ascii="宋体" w:hAnsi="宋体"/>
          <w:bCs/>
          <w:color w:val="auto"/>
          <w:sz w:val="24"/>
          <w:highlight w:val="none"/>
        </w:rPr>
        <w:t>我方作为本次采购项目的供应商，根据磋商文件要求，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除非磋商文件特别规定，采购人享有本项目实施过程中产生的知识成果及知识产权。如我方在采购项目实施过程中采用自有或者第三方知识成果的，使用该知识成果后，我方承诺提供开发接口和开发手册等技术资料，并提供无限期支持，采购人享有使用权（含采购人委托第三方在该项目后续开发的使用权）。如我方在项目实施过程中采用非自有的知识产权，则在报价中已包括合法获取该知识产权的相关费用。</w:t>
      </w:r>
    </w:p>
    <w:p>
      <w:pPr>
        <w:pStyle w:val="13"/>
        <w:spacing w:after="0" w:line="360" w:lineRule="auto"/>
        <w:ind w:left="0" w:leftChars="0" w:firstLine="480" w:firstLineChars="200"/>
        <w:jc w:val="left"/>
        <w:rPr>
          <w:rFonts w:ascii="宋体" w:hAnsi="宋体"/>
          <w:bCs/>
          <w:color w:val="auto"/>
          <w:sz w:val="24"/>
          <w:highlight w:val="none"/>
        </w:rPr>
      </w:pPr>
    </w:p>
    <w:p>
      <w:pPr>
        <w:pStyle w:val="13"/>
        <w:spacing w:line="340" w:lineRule="exact"/>
        <w:rPr>
          <w:bCs/>
          <w:color w:val="auto"/>
          <w:sz w:val="24"/>
          <w:highlight w:val="none"/>
        </w:rPr>
      </w:pPr>
    </w:p>
    <w:p>
      <w:pPr>
        <w:adjustRightInd w:val="0"/>
        <w:spacing w:line="480" w:lineRule="auto"/>
        <w:ind w:firstLine="480" w:firstLineChars="200"/>
        <w:jc w:val="left"/>
        <w:rPr>
          <w:rFonts w:ascii="新宋体" w:hAnsi="新宋体" w:eastAsia="新宋体"/>
          <w:color w:val="auto"/>
          <w:sz w:val="24"/>
          <w:highlight w:val="none"/>
        </w:rPr>
      </w:pPr>
      <w:r>
        <w:rPr>
          <w:rFonts w:hint="eastAsia" w:ascii="宋体" w:hAnsi="宋体" w:cs="宋体"/>
          <w:color w:val="auto"/>
          <w:sz w:val="24"/>
          <w:highlight w:val="none"/>
        </w:rPr>
        <w:t>注：本承诺函为参考格式，供应商可根据磋商文件第二章总则中第 9 条及第五章相关要求进行承诺。</w:t>
      </w:r>
    </w:p>
    <w:p>
      <w:pPr>
        <w:adjustRightInd w:val="0"/>
        <w:spacing w:line="480" w:lineRule="auto"/>
        <w:ind w:firstLine="480" w:firstLineChars="200"/>
        <w:jc w:val="left"/>
        <w:rPr>
          <w:rFonts w:ascii="新宋体" w:hAnsi="新宋体" w:eastAsia="新宋体"/>
          <w:color w:val="auto"/>
          <w:sz w:val="24"/>
          <w:highlight w:val="none"/>
        </w:rPr>
      </w:pPr>
    </w:p>
    <w:p>
      <w:pPr>
        <w:adjustRightIn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供应商名称（盖章）：</w:t>
      </w:r>
      <w:r>
        <w:rPr>
          <w:rFonts w:hint="eastAsia" w:ascii="宋体" w:hAnsi="宋体"/>
          <w:color w:val="auto"/>
          <w:sz w:val="24"/>
          <w:highlight w:val="none"/>
          <w:u w:val="single"/>
        </w:rPr>
        <w:t xml:space="preserve">                      </w:t>
      </w:r>
    </w:p>
    <w:p>
      <w:pPr>
        <w:adjustRightIn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法定代表人或授权代表（签字或加盖个人名章）：</w:t>
      </w:r>
      <w:r>
        <w:rPr>
          <w:rFonts w:hint="eastAsia" w:ascii="宋体" w:hAnsi="宋体"/>
          <w:color w:val="auto"/>
          <w:sz w:val="24"/>
          <w:highlight w:val="none"/>
          <w:u w:val="single"/>
        </w:rPr>
        <w:t xml:space="preserve">           </w:t>
      </w:r>
    </w:p>
    <w:p>
      <w:pPr>
        <w:spacing w:line="360" w:lineRule="auto"/>
        <w:ind w:firstLine="480" w:firstLineChars="200"/>
        <w:rPr>
          <w:rFonts w:ascii="新宋体" w:hAnsi="新宋体" w:eastAsia="新宋体"/>
          <w:color w:val="auto"/>
          <w:sz w:val="24"/>
          <w:highlight w:val="none"/>
        </w:rPr>
      </w:pPr>
      <w:r>
        <w:rPr>
          <w:rFonts w:hint="eastAsia" w:ascii="宋体" w:hAnsi="宋体"/>
          <w:color w:val="auto"/>
          <w:sz w:val="24"/>
          <w:highlight w:val="none"/>
        </w:rPr>
        <w:t>日    期：</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ascii="宋体" w:hAnsi="宋体"/>
          <w:color w:val="auto"/>
          <w:sz w:val="24"/>
          <w:highlight w:val="none"/>
        </w:rPr>
        <w:t>年</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ascii="宋体" w:hAnsi="宋体"/>
          <w:color w:val="auto"/>
          <w:sz w:val="24"/>
          <w:highlight w:val="none"/>
        </w:rPr>
        <w:t>月</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ascii="宋体" w:hAnsi="宋体"/>
          <w:color w:val="auto"/>
          <w:sz w:val="24"/>
          <w:highlight w:val="none"/>
        </w:rPr>
        <w:t>日</w:t>
      </w:r>
    </w:p>
    <w:p>
      <w:pPr>
        <w:rPr>
          <w:color w:val="auto"/>
          <w:highlight w:val="none"/>
        </w:rPr>
      </w:pPr>
    </w:p>
    <w:p>
      <w:pPr>
        <w:widowControl/>
        <w:spacing w:line="360" w:lineRule="auto"/>
        <w:jc w:val="center"/>
        <w:outlineLvl w:val="1"/>
        <w:rPr>
          <w:rStyle w:val="31"/>
          <w:color w:val="auto"/>
          <w:highlight w:val="none"/>
        </w:rPr>
      </w:pPr>
      <w:r>
        <w:rPr>
          <w:rFonts w:hint="eastAsia"/>
          <w:color w:val="auto"/>
          <w:highlight w:val="none"/>
        </w:rPr>
        <w:br w:type="page"/>
      </w:r>
      <w:r>
        <w:rPr>
          <w:rStyle w:val="31"/>
          <w:rFonts w:hint="eastAsia"/>
          <w:color w:val="auto"/>
          <w:highlight w:val="none"/>
          <w:lang w:val="en-US" w:eastAsia="zh-CN"/>
        </w:rPr>
        <w:t>九</w:t>
      </w:r>
      <w:r>
        <w:rPr>
          <w:rStyle w:val="31"/>
          <w:rFonts w:hint="eastAsia"/>
          <w:color w:val="auto"/>
          <w:highlight w:val="none"/>
        </w:rPr>
        <w:t>、供应商诚信情况承诺函</w:t>
      </w:r>
    </w:p>
    <w:p>
      <w:pPr>
        <w:pStyle w:val="13"/>
        <w:spacing w:after="0" w:line="360" w:lineRule="auto"/>
        <w:ind w:left="0" w:leftChars="0"/>
        <w:jc w:val="left"/>
        <w:rPr>
          <w:rFonts w:hint="eastAsia" w:ascii="宋体" w:hAnsi="宋体"/>
          <w:bCs/>
          <w:color w:val="auto"/>
          <w:sz w:val="24"/>
          <w:highlight w:val="none"/>
        </w:rPr>
      </w:pPr>
    </w:p>
    <w:p>
      <w:pPr>
        <w:spacing w:line="360" w:lineRule="auto"/>
        <w:rPr>
          <w:rFonts w:ascii="宋体" w:hAnsi="宋体"/>
          <w:color w:val="auto"/>
          <w:sz w:val="24"/>
          <w:highlight w:val="none"/>
        </w:rPr>
      </w:pPr>
      <w:r>
        <w:rPr>
          <w:rFonts w:hint="eastAsia" w:ascii="宋体" w:hAnsi="宋体"/>
          <w:color w:val="auto"/>
          <w:sz w:val="24"/>
          <w:highlight w:val="none"/>
        </w:rPr>
        <w:t>四川易通天和招标代理有限公司：</w:t>
      </w:r>
    </w:p>
    <w:p>
      <w:pPr>
        <w:spacing w:line="360" w:lineRule="auto"/>
        <w:ind w:firstLine="480" w:firstLineChars="200"/>
        <w:rPr>
          <w:rFonts w:ascii="宋体" w:hAnsi="宋体" w:cs="宋体"/>
          <w:color w:val="auto"/>
          <w:sz w:val="24"/>
          <w:highlight w:val="none"/>
        </w:rPr>
      </w:pPr>
      <w:r>
        <w:rPr>
          <w:rFonts w:hint="eastAsia" w:ascii="宋体" w:hAnsi="宋体" w:cs="宋体"/>
          <w:bCs/>
          <w:color w:val="auto"/>
          <w:sz w:val="24"/>
          <w:highlight w:val="none"/>
        </w:rPr>
        <w:t>本单位</w:t>
      </w:r>
      <w:r>
        <w:rPr>
          <w:rFonts w:hint="eastAsia" w:ascii="宋体" w:hAnsi="宋体" w:cs="宋体"/>
          <w:color w:val="auto"/>
          <w:sz w:val="24"/>
          <w:highlight w:val="none"/>
          <w:u w:val="single"/>
        </w:rPr>
        <w:t xml:space="preserve">              </w:t>
      </w:r>
      <w:r>
        <w:rPr>
          <w:rFonts w:hint="eastAsia" w:ascii="宋体" w:hAnsi="宋体" w:cs="宋体"/>
          <w:bCs/>
          <w:color w:val="auto"/>
          <w:sz w:val="24"/>
          <w:highlight w:val="none"/>
        </w:rPr>
        <w:t>（供应商名称）参加</w:t>
      </w:r>
      <w:r>
        <w:rPr>
          <w:rFonts w:hint="eastAsia" w:ascii="宋体" w:hAnsi="宋体" w:cs="宋体"/>
          <w:color w:val="auto"/>
          <w:sz w:val="24"/>
          <w:highlight w:val="none"/>
          <w:u w:val="single"/>
        </w:rPr>
        <w:t xml:space="preserve">               </w:t>
      </w:r>
      <w:r>
        <w:rPr>
          <w:rFonts w:hint="eastAsia" w:ascii="宋体" w:hAnsi="宋体" w:cs="宋体"/>
          <w:bCs/>
          <w:color w:val="auto"/>
          <w:sz w:val="24"/>
          <w:highlight w:val="none"/>
        </w:rPr>
        <w:t>（项目名称）（项目编号：</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）的政府采购活动，</w:t>
      </w:r>
      <w:r>
        <w:rPr>
          <w:rFonts w:hint="eastAsia" w:ascii="宋体" w:hAnsi="宋体" w:cs="宋体"/>
          <w:color w:val="auto"/>
          <w:sz w:val="24"/>
          <w:highlight w:val="none"/>
        </w:rPr>
        <w:t>现根据《四川省政府采购当事人诚信管理办法》川财采〔2015〕33号的相关规定，针</w:t>
      </w:r>
      <w:r>
        <w:rPr>
          <w:rFonts w:hint="eastAsia" w:ascii="宋体" w:hAnsi="宋体" w:cs="宋体"/>
          <w:bCs/>
          <w:color w:val="auto"/>
          <w:sz w:val="24"/>
          <w:highlight w:val="none"/>
        </w:rPr>
        <w:t>对本单位的诚信情况作出以下承诺：</w:t>
      </w:r>
    </w:p>
    <w:p>
      <w:pPr>
        <w:spacing w:line="360" w:lineRule="auto"/>
        <w:ind w:firstLine="480" w:firstLineChars="200"/>
        <w:rPr>
          <w:rFonts w:ascii="宋体" w:hAnsi="宋体" w:cs="宋体"/>
          <w:bCs/>
          <w:color w:val="auto"/>
          <w:sz w:val="24"/>
          <w:highlight w:val="none"/>
        </w:rPr>
      </w:pPr>
    </w:p>
    <w:p>
      <w:pPr>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我单位具有</w:t>
      </w:r>
      <w:r>
        <w:rPr>
          <w:rFonts w:hint="eastAsia" w:ascii="宋体" w:hAnsi="宋体" w:cs="宋体"/>
          <w:color w:val="auto"/>
          <w:sz w:val="24"/>
          <w:highlight w:val="none"/>
        </w:rPr>
        <w:t>《四川省政府采购当事人诚信管理办法》（川财采[2015]33号）所规定的失信行为</w:t>
      </w:r>
      <w:r>
        <w:rPr>
          <w:rFonts w:hint="eastAsia" w:ascii="宋体" w:hAnsi="宋体" w:cs="宋体"/>
          <w:color w:val="auto"/>
          <w:sz w:val="24"/>
          <w:highlight w:val="none"/>
          <w:u w:val="single"/>
        </w:rPr>
        <w:t xml:space="preserve">  XXX  </w:t>
      </w:r>
      <w:r>
        <w:rPr>
          <w:rFonts w:hint="eastAsia" w:ascii="宋体" w:hAnsi="宋体" w:cs="宋体"/>
          <w:color w:val="auto"/>
          <w:sz w:val="24"/>
          <w:highlight w:val="none"/>
        </w:rPr>
        <w:t>次（填写失信行为的次数时，建议使用大写数字，如零、壹、贰、叁、肆等。）；</w:t>
      </w:r>
      <w:r>
        <w:rPr>
          <w:rFonts w:hint="eastAsia" w:ascii="宋体" w:hAnsi="宋体" w:cs="宋体"/>
          <w:bCs/>
          <w:color w:val="auto"/>
          <w:sz w:val="24"/>
          <w:highlight w:val="none"/>
        </w:rPr>
        <w:t>（仅限递交响应文件截止当日仍在有效期的次数）</w:t>
      </w:r>
    </w:p>
    <w:p>
      <w:pPr>
        <w:spacing w:line="360" w:lineRule="auto"/>
        <w:ind w:firstLine="480" w:firstLineChars="200"/>
        <w:rPr>
          <w:rFonts w:ascii="宋体" w:hAnsi="宋体" w:cs="宋体"/>
          <w:color w:val="auto"/>
          <w:sz w:val="24"/>
          <w:highlight w:val="none"/>
        </w:rPr>
      </w:pP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w:t>
      </w:r>
      <w:r>
        <w:rPr>
          <w:rFonts w:hint="eastAsia" w:ascii="宋体" w:hAnsi="宋体" w:cs="宋体"/>
          <w:bCs/>
          <w:color w:val="auto"/>
          <w:sz w:val="24"/>
          <w:highlight w:val="none"/>
        </w:rPr>
        <w:t>单位</w:t>
      </w:r>
      <w:r>
        <w:rPr>
          <w:rFonts w:hint="eastAsia" w:ascii="宋体" w:hAnsi="宋体" w:cs="宋体"/>
          <w:color w:val="auto"/>
          <w:sz w:val="24"/>
          <w:highlight w:val="none"/>
        </w:rPr>
        <w:t>对以上填写信息的真实性负责。如有不实，本</w:t>
      </w:r>
      <w:r>
        <w:rPr>
          <w:rFonts w:hint="eastAsia" w:ascii="宋体" w:hAnsi="宋体" w:cs="宋体"/>
          <w:bCs/>
          <w:color w:val="auto"/>
          <w:sz w:val="24"/>
          <w:highlight w:val="none"/>
        </w:rPr>
        <w:t>单位</w:t>
      </w:r>
      <w:r>
        <w:rPr>
          <w:rFonts w:hint="eastAsia" w:ascii="宋体" w:hAnsi="宋体" w:cs="宋体"/>
          <w:color w:val="auto"/>
          <w:sz w:val="24"/>
          <w:highlight w:val="none"/>
        </w:rPr>
        <w:t>愿承担由此产生的一切法律责任和后果。</w:t>
      </w:r>
    </w:p>
    <w:p>
      <w:pPr>
        <w:spacing w:line="360" w:lineRule="auto"/>
        <w:rPr>
          <w:rFonts w:ascii="宋体" w:hAnsi="宋体" w:cs="宋体"/>
          <w:bCs/>
          <w:color w:val="auto"/>
          <w:sz w:val="24"/>
          <w:highlight w:val="none"/>
        </w:rPr>
      </w:pPr>
    </w:p>
    <w:p>
      <w:pPr>
        <w:adjustRightIn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供应商名称（盖章）：</w:t>
      </w:r>
      <w:r>
        <w:rPr>
          <w:rFonts w:hint="eastAsia" w:ascii="宋体" w:hAnsi="宋体"/>
          <w:color w:val="auto"/>
          <w:sz w:val="24"/>
          <w:highlight w:val="none"/>
          <w:u w:val="single"/>
        </w:rPr>
        <w:t xml:space="preserve">                      </w:t>
      </w:r>
    </w:p>
    <w:p>
      <w:pPr>
        <w:adjustRightIn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法定代表人或授权代表（签字或加盖个人名章）：</w:t>
      </w:r>
      <w:r>
        <w:rPr>
          <w:rFonts w:hint="eastAsia" w:ascii="宋体" w:hAnsi="宋体"/>
          <w:color w:val="auto"/>
          <w:sz w:val="24"/>
          <w:highlight w:val="none"/>
          <w:u w:val="single"/>
        </w:rPr>
        <w:t xml:space="preserve">           </w:t>
      </w:r>
    </w:p>
    <w:p>
      <w:pPr>
        <w:spacing w:line="360" w:lineRule="auto"/>
        <w:ind w:firstLine="480" w:firstLineChars="200"/>
        <w:rPr>
          <w:rFonts w:ascii="新宋体" w:hAnsi="新宋体" w:eastAsia="新宋体"/>
          <w:color w:val="auto"/>
          <w:sz w:val="24"/>
          <w:highlight w:val="none"/>
        </w:rPr>
      </w:pPr>
      <w:r>
        <w:rPr>
          <w:rFonts w:hint="eastAsia" w:ascii="宋体" w:hAnsi="宋体"/>
          <w:color w:val="auto"/>
          <w:sz w:val="24"/>
          <w:highlight w:val="none"/>
        </w:rPr>
        <w:t>日    期：</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ascii="宋体" w:hAnsi="宋体"/>
          <w:color w:val="auto"/>
          <w:sz w:val="24"/>
          <w:highlight w:val="none"/>
        </w:rPr>
        <w:t>年</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ascii="宋体" w:hAnsi="宋体"/>
          <w:color w:val="auto"/>
          <w:sz w:val="24"/>
          <w:highlight w:val="none"/>
        </w:rPr>
        <w:t>月</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ascii="宋体" w:hAnsi="宋体"/>
          <w:color w:val="auto"/>
          <w:sz w:val="24"/>
          <w:highlight w:val="none"/>
        </w:rPr>
        <w:t>日</w:t>
      </w:r>
    </w:p>
    <w:p>
      <w:pPr>
        <w:spacing w:line="360" w:lineRule="auto"/>
        <w:rPr>
          <w:rFonts w:ascii="宋体" w:hAnsi="宋体" w:cs="宋体"/>
          <w:bCs/>
          <w:color w:val="auto"/>
          <w:sz w:val="24"/>
          <w:highlight w:val="none"/>
        </w:rPr>
      </w:pPr>
    </w:p>
    <w:p>
      <w:pPr>
        <w:spacing w:line="360" w:lineRule="auto"/>
        <w:rPr>
          <w:rFonts w:ascii="宋体" w:hAnsi="宋体" w:cs="宋体"/>
          <w:bCs/>
          <w:color w:val="auto"/>
          <w:sz w:val="24"/>
          <w:highlight w:val="none"/>
        </w:rPr>
      </w:pPr>
      <w:r>
        <w:rPr>
          <w:rFonts w:hint="eastAsia" w:ascii="宋体" w:hAnsi="宋体" w:cs="宋体"/>
          <w:bCs/>
          <w:color w:val="auto"/>
          <w:sz w:val="24"/>
          <w:highlight w:val="none"/>
        </w:rPr>
        <w:t>注：</w:t>
      </w:r>
    </w:p>
    <w:p>
      <w:pPr>
        <w:spacing w:line="360" w:lineRule="auto"/>
        <w:rPr>
          <w:rFonts w:ascii="宋体" w:hAnsi="宋体" w:cs="宋体"/>
          <w:bCs/>
          <w:color w:val="auto"/>
          <w:sz w:val="24"/>
          <w:highlight w:val="none"/>
        </w:rPr>
      </w:pPr>
      <w:r>
        <w:rPr>
          <w:rFonts w:hint="eastAsia" w:ascii="宋体" w:hAnsi="宋体" w:cs="宋体"/>
          <w:bCs/>
          <w:color w:val="auto"/>
          <w:sz w:val="24"/>
          <w:highlight w:val="none"/>
        </w:rPr>
        <w:t>1</w:t>
      </w:r>
      <w:r>
        <w:rPr>
          <w:rFonts w:hint="eastAsia" w:ascii="宋体" w:hAnsi="宋体"/>
          <w:color w:val="auto"/>
          <w:sz w:val="24"/>
          <w:highlight w:val="none"/>
        </w:rPr>
        <w:t>.</w:t>
      </w:r>
      <w:r>
        <w:rPr>
          <w:rFonts w:hint="eastAsia" w:ascii="宋体" w:hAnsi="宋体" w:cs="宋体"/>
          <w:bCs/>
          <w:color w:val="auto"/>
          <w:sz w:val="24"/>
          <w:highlight w:val="none"/>
        </w:rPr>
        <w:t>本表格式及内容仅供参考，供应商也可提供自己的格式；</w:t>
      </w:r>
    </w:p>
    <w:p>
      <w:pPr>
        <w:spacing w:line="360" w:lineRule="auto"/>
        <w:rPr>
          <w:rFonts w:ascii="宋体" w:hAnsi="宋体" w:cs="宋体"/>
          <w:bCs/>
          <w:color w:val="auto"/>
          <w:sz w:val="24"/>
          <w:highlight w:val="none"/>
        </w:rPr>
      </w:pPr>
      <w:r>
        <w:rPr>
          <w:rFonts w:hint="eastAsia" w:ascii="宋体" w:hAnsi="宋体" w:cs="宋体"/>
          <w:bCs/>
          <w:color w:val="auto"/>
          <w:sz w:val="24"/>
          <w:highlight w:val="none"/>
        </w:rPr>
        <w:t>2</w:t>
      </w:r>
      <w:r>
        <w:rPr>
          <w:rFonts w:hint="eastAsia" w:ascii="宋体" w:hAnsi="宋体"/>
          <w:color w:val="auto"/>
          <w:sz w:val="24"/>
          <w:highlight w:val="none"/>
        </w:rPr>
        <w:t>.</w:t>
      </w:r>
      <w:r>
        <w:rPr>
          <w:rFonts w:hint="eastAsia" w:ascii="宋体" w:hAnsi="宋体" w:cs="宋体"/>
          <w:bCs/>
          <w:color w:val="auto"/>
          <w:sz w:val="24"/>
          <w:highlight w:val="none"/>
        </w:rPr>
        <w:t>供应商存在以上所述失信行为的，将按照</w:t>
      </w:r>
      <w:r>
        <w:rPr>
          <w:rFonts w:hint="eastAsia" w:ascii="宋体" w:hAnsi="宋体" w:cs="宋体"/>
          <w:color w:val="auto"/>
          <w:sz w:val="24"/>
          <w:highlight w:val="none"/>
        </w:rPr>
        <w:t>第二章须知附表的要求进行处理；</w:t>
      </w:r>
    </w:p>
    <w:p>
      <w:pPr>
        <w:spacing w:line="360" w:lineRule="auto"/>
        <w:rPr>
          <w:rFonts w:ascii="宋体" w:hAnsi="宋体" w:cs="宋体"/>
          <w:color w:val="auto"/>
          <w:kern w:val="0"/>
          <w:sz w:val="24"/>
          <w:highlight w:val="none"/>
        </w:rPr>
      </w:pPr>
      <w:r>
        <w:rPr>
          <w:rFonts w:hint="eastAsia" w:ascii="宋体" w:hAnsi="宋体" w:cs="宋体"/>
          <w:bCs/>
          <w:color w:val="auto"/>
          <w:sz w:val="24"/>
          <w:highlight w:val="none"/>
        </w:rPr>
        <w:t>3</w:t>
      </w:r>
      <w:r>
        <w:rPr>
          <w:rFonts w:hint="eastAsia" w:ascii="宋体" w:hAnsi="宋体"/>
          <w:color w:val="auto"/>
          <w:sz w:val="24"/>
          <w:highlight w:val="none"/>
        </w:rPr>
        <w:t>.</w:t>
      </w:r>
      <w:r>
        <w:rPr>
          <w:rFonts w:hint="eastAsia" w:ascii="宋体" w:hAnsi="宋体" w:cs="宋体"/>
          <w:bCs/>
          <w:color w:val="auto"/>
          <w:sz w:val="24"/>
          <w:highlight w:val="none"/>
        </w:rPr>
        <w:t>财政部门对政府采购当事人的失信行为依法进行处罚、处理后，应当在四川政府采购网向社会公告，并记入诚信档案，有效期为1年。工商部门、税务部门、审判机关及其他有关部门单位认定供应商的失信行为明</w:t>
      </w:r>
      <w:r>
        <w:rPr>
          <w:rFonts w:hint="eastAsia" w:ascii="宋体" w:hAnsi="宋体" w:cs="宋体"/>
          <w:color w:val="auto"/>
          <w:kern w:val="0"/>
          <w:sz w:val="24"/>
          <w:highlight w:val="none"/>
        </w:rPr>
        <w:t>确了有效期的，不再重复计算。</w:t>
      </w:r>
    </w:p>
    <w:p>
      <w:pPr>
        <w:widowControl/>
        <w:spacing w:line="360" w:lineRule="auto"/>
        <w:jc w:val="left"/>
        <w:rPr>
          <w:rFonts w:ascii="宋体" w:hAnsi="宋体" w:cs="宋体"/>
          <w:color w:val="auto"/>
          <w:sz w:val="24"/>
          <w:highlight w:val="none"/>
        </w:rPr>
      </w:pPr>
      <w:r>
        <w:rPr>
          <w:rFonts w:hint="eastAsia" w:ascii="宋体" w:hAnsi="宋体" w:cs="宋体"/>
          <w:color w:val="auto"/>
          <w:kern w:val="0"/>
          <w:sz w:val="24"/>
          <w:highlight w:val="none"/>
        </w:rPr>
        <w:t>4</w:t>
      </w:r>
      <w:r>
        <w:rPr>
          <w:rFonts w:hint="eastAsia" w:ascii="宋体" w:hAnsi="宋体"/>
          <w:color w:val="auto"/>
          <w:sz w:val="24"/>
          <w:highlight w:val="none"/>
        </w:rPr>
        <w:t>.</w:t>
      </w:r>
      <w:r>
        <w:rPr>
          <w:rFonts w:hint="eastAsia" w:ascii="宋体" w:hAnsi="宋体" w:cs="宋体"/>
          <w:bCs/>
          <w:color w:val="auto"/>
          <w:sz w:val="24"/>
          <w:highlight w:val="none"/>
        </w:rPr>
        <w:t>供应商的失信行为受到行政处罚或司法惩处的，评审时不再对其以价格加成进行惩戒。</w:t>
      </w:r>
    </w:p>
    <w:p>
      <w:pPr>
        <w:rPr>
          <w:color w:val="auto"/>
          <w:highlight w:val="none"/>
        </w:rPr>
      </w:pPr>
      <w:r>
        <w:rPr>
          <w:rFonts w:hint="eastAsia"/>
          <w:color w:val="auto"/>
          <w:highlight w:val="none"/>
        </w:rPr>
        <w:br w:type="page"/>
      </w:r>
    </w:p>
    <w:p>
      <w:pPr>
        <w:pStyle w:val="5"/>
        <w:spacing w:before="0" w:after="0" w:line="360" w:lineRule="auto"/>
        <w:jc w:val="center"/>
        <w:rPr>
          <w:color w:val="auto"/>
          <w:highlight w:val="none"/>
        </w:rPr>
      </w:pPr>
      <w:r>
        <w:rPr>
          <w:rFonts w:hint="eastAsia"/>
          <w:color w:val="auto"/>
          <w:highlight w:val="none"/>
        </w:rPr>
        <w:t>十、</w:t>
      </w:r>
      <w:r>
        <w:rPr>
          <w:rFonts w:hint="eastAsia"/>
          <w:color w:val="auto"/>
          <w:highlight w:val="none"/>
          <w:lang w:val="en-US" w:eastAsia="zh-CN"/>
        </w:rPr>
        <w:t>实施</w:t>
      </w:r>
      <w:r>
        <w:rPr>
          <w:rFonts w:hint="eastAsia"/>
          <w:color w:val="auto"/>
          <w:highlight w:val="none"/>
        </w:rPr>
        <w:t>方案</w:t>
      </w:r>
    </w:p>
    <w:p>
      <w:pPr>
        <w:jc w:val="center"/>
        <w:rPr>
          <w:color w:val="auto"/>
          <w:sz w:val="24"/>
          <w:szCs w:val="32"/>
          <w:highlight w:val="none"/>
        </w:rPr>
      </w:pPr>
      <w:r>
        <w:rPr>
          <w:rFonts w:hint="eastAsia"/>
          <w:color w:val="auto"/>
          <w:sz w:val="24"/>
          <w:szCs w:val="32"/>
          <w:highlight w:val="none"/>
        </w:rPr>
        <w:t>（格式自拟）</w:t>
      </w:r>
    </w:p>
    <w:p>
      <w:pPr>
        <w:rPr>
          <w:color w:val="auto"/>
          <w:sz w:val="24"/>
          <w:szCs w:val="32"/>
          <w:highlight w:val="none"/>
        </w:rPr>
      </w:pPr>
      <w:r>
        <w:rPr>
          <w:rFonts w:hint="eastAsia"/>
          <w:color w:val="auto"/>
          <w:sz w:val="24"/>
          <w:szCs w:val="32"/>
          <w:highlight w:val="none"/>
        </w:rPr>
        <w:br w:type="page"/>
      </w:r>
    </w:p>
    <w:p>
      <w:pPr>
        <w:pStyle w:val="5"/>
        <w:spacing w:before="0" w:after="0" w:line="360" w:lineRule="auto"/>
        <w:jc w:val="center"/>
        <w:rPr>
          <w:color w:val="auto"/>
          <w:highlight w:val="none"/>
        </w:rPr>
      </w:pPr>
      <w:r>
        <w:rPr>
          <w:rFonts w:hint="eastAsia"/>
          <w:color w:val="auto"/>
          <w:highlight w:val="none"/>
        </w:rPr>
        <w:t>十</w:t>
      </w:r>
      <w:r>
        <w:rPr>
          <w:rFonts w:hint="eastAsia"/>
          <w:color w:val="auto"/>
          <w:highlight w:val="none"/>
          <w:lang w:val="en-US" w:eastAsia="zh-CN"/>
        </w:rPr>
        <w:t>一</w:t>
      </w:r>
      <w:r>
        <w:rPr>
          <w:rFonts w:hint="eastAsia"/>
          <w:color w:val="auto"/>
          <w:highlight w:val="none"/>
        </w:rPr>
        <w:t>、</w:t>
      </w:r>
      <w:r>
        <w:rPr>
          <w:rFonts w:hint="eastAsia"/>
          <w:color w:val="auto"/>
          <w:highlight w:val="none"/>
          <w:lang w:val="en-US" w:eastAsia="zh-CN"/>
        </w:rPr>
        <w:t>售后服务</w:t>
      </w:r>
      <w:r>
        <w:rPr>
          <w:rFonts w:hint="eastAsia"/>
          <w:color w:val="auto"/>
          <w:highlight w:val="none"/>
        </w:rPr>
        <w:t>方案</w:t>
      </w:r>
    </w:p>
    <w:p>
      <w:pPr>
        <w:jc w:val="center"/>
        <w:rPr>
          <w:color w:val="auto"/>
          <w:sz w:val="24"/>
          <w:szCs w:val="32"/>
          <w:highlight w:val="none"/>
        </w:rPr>
      </w:pPr>
      <w:r>
        <w:rPr>
          <w:rFonts w:hint="eastAsia"/>
          <w:color w:val="auto"/>
          <w:sz w:val="24"/>
          <w:szCs w:val="32"/>
          <w:highlight w:val="none"/>
        </w:rPr>
        <w:t>（格式自拟）</w:t>
      </w:r>
    </w:p>
    <w:p>
      <w:pPr>
        <w:jc w:val="center"/>
        <w:rPr>
          <w:color w:val="auto"/>
          <w:highlight w:val="none"/>
        </w:rPr>
      </w:pPr>
      <w:r>
        <w:rPr>
          <w:rFonts w:hint="eastAsia"/>
          <w:color w:val="auto"/>
          <w:highlight w:val="none"/>
        </w:rPr>
        <w:br w:type="page"/>
      </w:r>
    </w:p>
    <w:p>
      <w:pPr>
        <w:pStyle w:val="5"/>
        <w:spacing w:before="0" w:after="0" w:line="360" w:lineRule="auto"/>
        <w:jc w:val="center"/>
        <w:rPr>
          <w:rFonts w:cs="仿宋_GB2312"/>
          <w:color w:val="auto"/>
          <w:sz w:val="28"/>
          <w:highlight w:val="none"/>
        </w:rPr>
      </w:pPr>
      <w:r>
        <w:rPr>
          <w:rFonts w:hint="eastAsia"/>
          <w:color w:val="auto"/>
          <w:highlight w:val="none"/>
        </w:rPr>
        <w:t>十</w:t>
      </w:r>
      <w:r>
        <w:rPr>
          <w:rFonts w:hint="eastAsia"/>
          <w:color w:val="auto"/>
          <w:highlight w:val="none"/>
          <w:lang w:val="en-US" w:eastAsia="zh-CN"/>
        </w:rPr>
        <w:t>二</w:t>
      </w:r>
      <w:r>
        <w:rPr>
          <w:rFonts w:hint="eastAsia"/>
          <w:color w:val="auto"/>
          <w:highlight w:val="none"/>
        </w:rPr>
        <w:t>、其他资料及相关说明等</w:t>
      </w:r>
      <w:bookmarkEnd w:id="155"/>
      <w:bookmarkEnd w:id="156"/>
    </w:p>
    <w:p>
      <w:pPr>
        <w:adjustRightInd w:val="0"/>
        <w:snapToGrid w:val="0"/>
        <w:spacing w:line="360" w:lineRule="auto"/>
        <w:ind w:firstLine="480" w:firstLineChars="200"/>
        <w:rPr>
          <w:rFonts w:ascii="宋体" w:hAnsi="宋体"/>
          <w:color w:val="auto"/>
          <w:sz w:val="24"/>
          <w:highlight w:val="none"/>
        </w:rPr>
      </w:pPr>
      <w:r>
        <w:rPr>
          <w:rFonts w:hint="eastAsia" w:ascii="宋体" w:hAnsi="宋体" w:cs="仿宋_GB2312"/>
          <w:color w:val="auto"/>
          <w:sz w:val="24"/>
          <w:highlight w:val="none"/>
        </w:rPr>
        <w:t>对照</w:t>
      </w:r>
      <w:r>
        <w:rPr>
          <w:rFonts w:hint="eastAsia" w:hAnsi="宋体" w:cs="仿宋_GB2312"/>
          <w:color w:val="auto"/>
          <w:sz w:val="24"/>
          <w:highlight w:val="none"/>
        </w:rPr>
        <w:t>采购文件</w:t>
      </w:r>
      <w:r>
        <w:rPr>
          <w:rFonts w:hint="eastAsia" w:ascii="宋体" w:hAnsi="宋体" w:cs="仿宋_GB2312"/>
          <w:color w:val="auto"/>
          <w:sz w:val="24"/>
          <w:highlight w:val="none"/>
        </w:rPr>
        <w:t>关于采购需求与评分规则等具体要求应当提供的其他资料、相关说明等，以及</w:t>
      </w:r>
      <w:r>
        <w:rPr>
          <w:rFonts w:hint="eastAsia" w:hAnsi="宋体" w:cs="仿宋_GB2312"/>
          <w:color w:val="auto"/>
          <w:sz w:val="24"/>
          <w:highlight w:val="none"/>
        </w:rPr>
        <w:t>供应商</w:t>
      </w:r>
      <w:r>
        <w:rPr>
          <w:rFonts w:hint="eastAsia" w:ascii="宋体" w:hAnsi="宋体" w:cs="仿宋_GB2312"/>
          <w:color w:val="auto"/>
          <w:sz w:val="24"/>
          <w:highlight w:val="none"/>
        </w:rPr>
        <w:t>认为可以提供的其他证明资料、相关说明等，格式自拟。</w:t>
      </w:r>
    </w:p>
    <w:p>
      <w:pPr>
        <w:rPr>
          <w:color w:val="auto"/>
          <w:sz w:val="32"/>
          <w:szCs w:val="32"/>
          <w:highlight w:val="none"/>
        </w:rPr>
      </w:pPr>
    </w:p>
    <w:p>
      <w:pPr>
        <w:rPr>
          <w:color w:val="auto"/>
          <w:sz w:val="32"/>
          <w:szCs w:val="32"/>
          <w:highlight w:val="none"/>
        </w:rPr>
      </w:pPr>
    </w:p>
    <w:p>
      <w:pPr>
        <w:rPr>
          <w:color w:val="auto"/>
          <w:sz w:val="32"/>
          <w:szCs w:val="32"/>
          <w:highlight w:val="none"/>
        </w:rPr>
      </w:pPr>
    </w:p>
    <w:p>
      <w:pPr>
        <w:rPr>
          <w:color w:val="auto"/>
          <w:sz w:val="24"/>
          <w:highlight w:val="none"/>
        </w:rPr>
        <w:sectPr>
          <w:headerReference r:id="rId12" w:type="default"/>
          <w:footerReference r:id="rId13" w:type="default"/>
          <w:footerReference r:id="rId14" w:type="even"/>
          <w:pgSz w:w="11850" w:h="16783"/>
          <w:pgMar w:top="1440" w:right="1304" w:bottom="1440" w:left="1417" w:header="851" w:footer="992" w:gutter="0"/>
          <w:pgNumType w:fmt="numberInDash"/>
          <w:cols w:space="0" w:num="1"/>
          <w:docGrid w:type="lines" w:linePitch="312" w:charSpace="0"/>
        </w:sectPr>
      </w:pPr>
    </w:p>
    <w:p>
      <w:pPr>
        <w:adjustRightInd w:val="0"/>
        <w:spacing w:line="400" w:lineRule="exact"/>
        <w:rPr>
          <w:rFonts w:ascii="宋体" w:hAnsi="宋体" w:eastAsia="黑体" w:cs="Arial"/>
          <w:b/>
          <w:color w:val="auto"/>
          <w:sz w:val="32"/>
          <w:szCs w:val="28"/>
          <w:highlight w:val="none"/>
        </w:rPr>
      </w:pPr>
    </w:p>
    <w:p>
      <w:pPr>
        <w:pStyle w:val="5"/>
        <w:jc w:val="center"/>
        <w:rPr>
          <w:color w:val="auto"/>
          <w:highlight w:val="none"/>
        </w:rPr>
      </w:pPr>
      <w:r>
        <w:rPr>
          <w:rFonts w:hint="eastAsia"/>
          <w:color w:val="auto"/>
          <w:highlight w:val="none"/>
        </w:rPr>
        <w:t>最终报价及承诺书</w:t>
      </w:r>
    </w:p>
    <w:p>
      <w:pPr>
        <w:pStyle w:val="10"/>
        <w:spacing w:before="100" w:beforeAutospacing="1"/>
        <w:ind w:firstLine="480"/>
        <w:rPr>
          <w:rFonts w:hAnsi="宋体" w:cs="宋体"/>
          <w:color w:val="auto"/>
          <w:sz w:val="24"/>
          <w:highlight w:val="none"/>
        </w:rPr>
      </w:pPr>
      <w:r>
        <w:rPr>
          <w:rFonts w:hint="eastAsia" w:hAnsi="宋体" w:cs="宋体"/>
          <w:color w:val="auto"/>
          <w:sz w:val="24"/>
          <w:highlight w:val="none"/>
        </w:rPr>
        <w:t>项目名称：</w:t>
      </w:r>
    </w:p>
    <w:p>
      <w:pPr>
        <w:pStyle w:val="10"/>
        <w:spacing w:before="100" w:beforeAutospacing="1"/>
        <w:ind w:firstLine="480"/>
        <w:rPr>
          <w:rFonts w:hAnsi="宋体" w:cs="宋体"/>
          <w:color w:val="auto"/>
          <w:sz w:val="24"/>
          <w:highlight w:val="none"/>
        </w:rPr>
      </w:pPr>
      <w:r>
        <w:rPr>
          <w:rFonts w:hint="eastAsia" w:hAnsi="宋体" w:cs="宋体"/>
          <w:color w:val="auto"/>
          <w:sz w:val="24"/>
          <w:highlight w:val="none"/>
        </w:rPr>
        <w:t>项目编号：</w:t>
      </w:r>
    </w:p>
    <w:p>
      <w:pPr>
        <w:spacing w:line="400" w:lineRule="exact"/>
        <w:jc w:val="left"/>
        <w:rPr>
          <w:rFonts w:hAnsi="宋体" w:cs="宋体"/>
          <w:color w:val="auto"/>
          <w:sz w:val="24"/>
          <w:highlight w:val="none"/>
        </w:rPr>
      </w:pPr>
    </w:p>
    <w:p>
      <w:pPr>
        <w:pStyle w:val="2"/>
        <w:rPr>
          <w:rFonts w:hAnsi="宋体" w:cs="宋体"/>
          <w:color w:val="auto"/>
          <w:sz w:val="24"/>
          <w:highlight w:val="none"/>
        </w:rPr>
      </w:pPr>
    </w:p>
    <w:p>
      <w:pPr>
        <w:pStyle w:val="10"/>
        <w:spacing w:before="100" w:beforeAutospacing="1"/>
        <w:ind w:firstLine="480"/>
        <w:rPr>
          <w:rFonts w:hint="eastAsia" w:hAnsi="宋体" w:eastAsia="宋体" w:cs="宋体"/>
          <w:color w:val="auto"/>
          <w:sz w:val="24"/>
          <w:highlight w:val="none"/>
          <w:lang w:eastAsia="zh-CN"/>
        </w:rPr>
      </w:pPr>
      <w:r>
        <w:rPr>
          <w:rFonts w:hint="eastAsia" w:hAnsi="宋体" w:cs="宋体"/>
          <w:color w:val="auto"/>
          <w:sz w:val="24"/>
          <w:highlight w:val="none"/>
        </w:rPr>
        <w:t>最终报价</w:t>
      </w:r>
    </w:p>
    <w:p>
      <w:pPr>
        <w:pStyle w:val="10"/>
        <w:spacing w:before="100" w:beforeAutospacing="1"/>
        <w:ind w:firstLine="480"/>
        <w:rPr>
          <w:rFonts w:hint="eastAsia" w:hAnsi="宋体" w:eastAsia="宋体" w:cs="宋体"/>
          <w:color w:val="auto"/>
          <w:sz w:val="24"/>
          <w:highlight w:val="none"/>
          <w:u w:val="single"/>
          <w:lang w:val="en-US" w:eastAsia="zh-CN"/>
        </w:rPr>
      </w:pPr>
      <w:r>
        <w:rPr>
          <w:rFonts w:hint="eastAsia" w:hAnsi="宋体" w:cs="宋体"/>
          <w:color w:val="auto"/>
          <w:sz w:val="24"/>
          <w:highlight w:val="none"/>
        </w:rPr>
        <w:t>小写：</w:t>
      </w:r>
      <w:r>
        <w:rPr>
          <w:rFonts w:hint="eastAsia" w:hAnsi="宋体" w:cs="宋体"/>
          <w:color w:val="auto"/>
          <w:sz w:val="24"/>
          <w:highlight w:val="none"/>
          <w:u w:val="single"/>
          <w:lang w:val="en-US" w:eastAsia="zh-CN"/>
        </w:rPr>
        <w:t xml:space="preserve">               </w:t>
      </w:r>
    </w:p>
    <w:p>
      <w:pPr>
        <w:pStyle w:val="10"/>
        <w:spacing w:before="100" w:beforeAutospacing="1"/>
        <w:ind w:firstLine="480"/>
        <w:rPr>
          <w:rFonts w:hint="eastAsia" w:hAnsi="宋体" w:eastAsia="宋体" w:cs="宋体"/>
          <w:color w:val="auto"/>
          <w:sz w:val="24"/>
          <w:highlight w:val="none"/>
          <w:u w:val="single"/>
          <w:lang w:val="en-US" w:eastAsia="zh-CN"/>
        </w:rPr>
      </w:pPr>
      <w:r>
        <w:rPr>
          <w:rFonts w:hint="eastAsia" w:hAnsi="宋体" w:cs="宋体"/>
          <w:color w:val="auto"/>
          <w:sz w:val="24"/>
          <w:highlight w:val="none"/>
        </w:rPr>
        <w:t>大写：</w:t>
      </w:r>
      <w:r>
        <w:rPr>
          <w:rFonts w:hint="eastAsia" w:hAnsi="宋体" w:cs="宋体"/>
          <w:color w:val="auto"/>
          <w:sz w:val="24"/>
          <w:highlight w:val="none"/>
          <w:u w:val="single"/>
          <w:lang w:val="en-US" w:eastAsia="zh-CN"/>
        </w:rPr>
        <w:t xml:space="preserve">               </w:t>
      </w:r>
    </w:p>
    <w:p>
      <w:pPr>
        <w:spacing w:line="400" w:lineRule="exact"/>
        <w:ind w:firstLine="480" w:firstLineChars="200"/>
        <w:jc w:val="left"/>
        <w:rPr>
          <w:rFonts w:ascii="宋体" w:hAnsi="宋体" w:cs="宋体"/>
          <w:color w:val="auto"/>
          <w:sz w:val="24"/>
          <w:highlight w:val="none"/>
        </w:rPr>
      </w:pPr>
    </w:p>
    <w:p>
      <w:pPr>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其他承诺：</w:t>
      </w:r>
    </w:p>
    <w:p>
      <w:pPr>
        <w:spacing w:line="400" w:lineRule="exact"/>
        <w:ind w:firstLine="482" w:firstLineChars="200"/>
        <w:jc w:val="left"/>
        <w:rPr>
          <w:rFonts w:ascii="宋体" w:hAnsi="宋体" w:cs="宋体"/>
          <w:b/>
          <w:bCs/>
          <w:color w:val="auto"/>
          <w:sz w:val="24"/>
          <w:highlight w:val="none"/>
        </w:rPr>
      </w:pPr>
    </w:p>
    <w:p>
      <w:pPr>
        <w:spacing w:line="400" w:lineRule="exact"/>
        <w:ind w:firstLine="482" w:firstLineChars="200"/>
        <w:jc w:val="left"/>
        <w:rPr>
          <w:rFonts w:ascii="宋体" w:hAnsi="宋体" w:cs="宋体"/>
          <w:b/>
          <w:bCs/>
          <w:color w:val="auto"/>
          <w:sz w:val="24"/>
          <w:highlight w:val="none"/>
        </w:rPr>
      </w:pPr>
    </w:p>
    <w:p>
      <w:pPr>
        <w:spacing w:line="400" w:lineRule="exact"/>
        <w:ind w:firstLine="482" w:firstLineChars="200"/>
        <w:jc w:val="left"/>
        <w:rPr>
          <w:rFonts w:ascii="宋体" w:hAnsi="宋体" w:cs="宋体"/>
          <w:color w:val="auto"/>
          <w:sz w:val="24"/>
          <w:highlight w:val="none"/>
        </w:rPr>
      </w:pPr>
      <w:r>
        <w:rPr>
          <w:rFonts w:hint="eastAsia" w:ascii="宋体" w:hAnsi="宋体" w:cs="宋体"/>
          <w:b/>
          <w:bCs/>
          <w:color w:val="auto"/>
          <w:sz w:val="24"/>
          <w:highlight w:val="none"/>
        </w:rPr>
        <w:t>注：此页不作为响应文件的组成部分，持空白页至磋商现场根据实际需要填写</w:t>
      </w:r>
      <w:r>
        <w:rPr>
          <w:rFonts w:hint="eastAsia" w:ascii="宋体" w:hAnsi="宋体" w:cs="宋体"/>
          <w:color w:val="auto"/>
          <w:sz w:val="24"/>
          <w:highlight w:val="none"/>
        </w:rPr>
        <w:t>。</w:t>
      </w:r>
    </w:p>
    <w:p>
      <w:pPr>
        <w:spacing w:line="400" w:lineRule="exact"/>
        <w:ind w:firstLine="480" w:firstLineChars="200"/>
        <w:rPr>
          <w:rFonts w:hAnsi="宋体" w:cs="宋体"/>
          <w:color w:val="auto"/>
          <w:sz w:val="24"/>
          <w:highlight w:val="none"/>
        </w:rPr>
      </w:pPr>
    </w:p>
    <w:p>
      <w:pPr>
        <w:spacing w:line="400" w:lineRule="exact"/>
        <w:ind w:firstLine="480" w:firstLineChars="200"/>
        <w:rPr>
          <w:rFonts w:hAnsi="宋体" w:cs="宋体"/>
          <w:color w:val="auto"/>
          <w:sz w:val="24"/>
          <w:highlight w:val="none"/>
        </w:rPr>
      </w:pPr>
    </w:p>
    <w:p>
      <w:pPr>
        <w:spacing w:line="400" w:lineRule="exact"/>
        <w:ind w:firstLine="480" w:firstLineChars="200"/>
        <w:rPr>
          <w:rFonts w:hAnsi="宋体" w:cs="宋体"/>
          <w:color w:val="auto"/>
          <w:sz w:val="24"/>
          <w:highlight w:val="none"/>
        </w:rPr>
      </w:pPr>
    </w:p>
    <w:p>
      <w:pPr>
        <w:adjustRightIn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供应商名称：</w:t>
      </w:r>
      <w:r>
        <w:rPr>
          <w:rFonts w:hint="eastAsia" w:ascii="宋体" w:hAnsi="宋体"/>
          <w:color w:val="auto"/>
          <w:sz w:val="24"/>
          <w:highlight w:val="none"/>
          <w:u w:val="single"/>
        </w:rPr>
        <w:t xml:space="preserve">                      </w:t>
      </w:r>
    </w:p>
    <w:p>
      <w:pPr>
        <w:adjustRightIn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法定代表人或授权代表（签字或加盖个人名章）：</w:t>
      </w:r>
      <w:r>
        <w:rPr>
          <w:rFonts w:hint="eastAsia" w:ascii="宋体" w:hAnsi="宋体"/>
          <w:color w:val="auto"/>
          <w:sz w:val="24"/>
          <w:highlight w:val="none"/>
          <w:u w:val="single"/>
        </w:rPr>
        <w:t xml:space="preserve">           </w:t>
      </w:r>
    </w:p>
    <w:p>
      <w:pPr>
        <w:spacing w:line="360" w:lineRule="auto"/>
        <w:ind w:firstLine="480" w:firstLineChars="200"/>
        <w:rPr>
          <w:rFonts w:ascii="新宋体" w:hAnsi="新宋体" w:eastAsia="新宋体"/>
          <w:color w:val="auto"/>
          <w:sz w:val="24"/>
          <w:highlight w:val="none"/>
        </w:rPr>
      </w:pPr>
      <w:r>
        <w:rPr>
          <w:rFonts w:hint="eastAsia" w:ascii="宋体" w:hAnsi="宋体"/>
          <w:color w:val="auto"/>
          <w:sz w:val="24"/>
          <w:highlight w:val="none"/>
        </w:rPr>
        <w:t>日    期：</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ascii="宋体" w:hAnsi="宋体"/>
          <w:color w:val="auto"/>
          <w:sz w:val="24"/>
          <w:highlight w:val="none"/>
        </w:rPr>
        <w:t>年</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ascii="宋体" w:hAnsi="宋体"/>
          <w:color w:val="auto"/>
          <w:sz w:val="24"/>
          <w:highlight w:val="none"/>
        </w:rPr>
        <w:t>月</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ascii="宋体" w:hAnsi="宋体"/>
          <w:color w:val="auto"/>
          <w:sz w:val="24"/>
          <w:highlight w:val="none"/>
        </w:rPr>
        <w:t>日</w:t>
      </w:r>
    </w:p>
    <w:p>
      <w:pPr>
        <w:pStyle w:val="5"/>
        <w:spacing w:before="0" w:after="0" w:line="360" w:lineRule="auto"/>
        <w:jc w:val="center"/>
        <w:rPr>
          <w:rFonts w:ascii="仿宋" w:hAnsi="仿宋" w:eastAsia="仿宋"/>
          <w:sz w:val="24"/>
          <w:highlight w:val="none"/>
        </w:rPr>
      </w:pPr>
      <w:r>
        <w:rPr>
          <w:rFonts w:hint="eastAsia"/>
          <w:color w:val="auto"/>
          <w:highlight w:val="none"/>
        </w:rPr>
        <w:br w:type="page"/>
      </w:r>
      <w:bookmarkStart w:id="157" w:name="_Toc18760"/>
      <w:r>
        <w:rPr>
          <w:rStyle w:val="44"/>
          <w:rFonts w:hint="eastAsia"/>
          <w:b/>
          <w:bCs/>
          <w:highlight w:val="none"/>
        </w:rPr>
        <w:t>中小企业（监狱企业）声明函</w:t>
      </w:r>
      <w:bookmarkEnd w:id="157"/>
    </w:p>
    <w:p>
      <w:pPr>
        <w:adjustRightIn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本公司郑重声明，根据《政府采购促进中小企业发展管理办法》（财库〔2020）46号）的规定，本公司参加</w:t>
      </w:r>
      <w:r>
        <w:rPr>
          <w:rFonts w:hint="eastAsia" w:ascii="宋体" w:hAnsi="宋体"/>
          <w:color w:val="auto"/>
          <w:sz w:val="24"/>
          <w:highlight w:val="none"/>
          <w:u w:val="single"/>
        </w:rPr>
        <w:t xml:space="preserve">       </w:t>
      </w:r>
      <w:r>
        <w:rPr>
          <w:rFonts w:hint="eastAsia" w:ascii="宋体" w:hAnsi="宋体"/>
          <w:color w:val="auto"/>
          <w:sz w:val="24"/>
          <w:highlight w:val="none"/>
        </w:rPr>
        <w:t>（单位名称）的</w:t>
      </w:r>
      <w:r>
        <w:rPr>
          <w:rFonts w:hint="eastAsia" w:ascii="宋体" w:hAnsi="宋体"/>
          <w:color w:val="auto"/>
          <w:sz w:val="24"/>
          <w:highlight w:val="none"/>
          <w:u w:val="single"/>
        </w:rPr>
        <w:t xml:space="preserve">        </w:t>
      </w:r>
      <w:r>
        <w:rPr>
          <w:rFonts w:hint="eastAsia" w:ascii="宋体" w:hAnsi="宋体"/>
          <w:color w:val="auto"/>
          <w:sz w:val="24"/>
          <w:highlight w:val="none"/>
        </w:rPr>
        <w:t>（项目名称）釆购活动,服务全部由符合政策要求的中小企业承接。相关企业（含联合体中的中小企业、签订分包意向协议的中小企业）的具体情况如下：</w:t>
      </w:r>
    </w:p>
    <w:p>
      <w:pPr>
        <w:adjustRightIn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w:t>
      </w:r>
      <w:r>
        <w:rPr>
          <w:rFonts w:hint="eastAsia" w:ascii="宋体" w:hAnsi="宋体"/>
          <w:color w:val="auto"/>
          <w:sz w:val="24"/>
          <w:highlight w:val="none"/>
          <w:u w:val="single"/>
        </w:rPr>
        <w:t xml:space="preserve">（标的名称）  </w:t>
      </w:r>
      <w:r>
        <w:rPr>
          <w:rFonts w:hint="eastAsia" w:ascii="宋体" w:hAnsi="宋体"/>
          <w:color w:val="auto"/>
          <w:sz w:val="24"/>
          <w:highlight w:val="none"/>
        </w:rPr>
        <w:t>，属于</w:t>
      </w:r>
      <w:r>
        <w:rPr>
          <w:rFonts w:hint="eastAsia" w:ascii="宋体" w:hAnsi="宋体"/>
          <w:color w:val="auto"/>
          <w:sz w:val="24"/>
          <w:highlight w:val="none"/>
          <w:u w:val="single"/>
        </w:rPr>
        <w:t>）</w:t>
      </w:r>
      <w:r>
        <w:rPr>
          <w:rFonts w:hint="eastAsia" w:ascii="宋体" w:hAnsi="宋体"/>
          <w:color w:val="auto"/>
          <w:sz w:val="24"/>
          <w:highlight w:val="none"/>
          <w:u w:val="single"/>
          <w:lang w:val="en-US" w:eastAsia="zh-CN"/>
        </w:rPr>
        <w:t>其他未列明行业（</w:t>
      </w:r>
      <w:r>
        <w:rPr>
          <w:rFonts w:hint="eastAsia" w:ascii="宋体" w:hAnsi="宋体"/>
          <w:color w:val="auto"/>
          <w:sz w:val="24"/>
          <w:highlight w:val="none"/>
        </w:rPr>
        <w:t>釆购文件中明确的所属行业）、承建（承接）企业为</w:t>
      </w:r>
      <w:r>
        <w:rPr>
          <w:rFonts w:hint="eastAsia" w:ascii="宋体" w:hAnsi="宋体"/>
          <w:color w:val="auto"/>
          <w:sz w:val="24"/>
          <w:highlight w:val="none"/>
          <w:u w:val="single"/>
        </w:rPr>
        <w:t xml:space="preserve">          </w:t>
      </w:r>
      <w:r>
        <w:rPr>
          <w:rFonts w:hint="eastAsia" w:ascii="宋体" w:hAnsi="宋体"/>
          <w:color w:val="auto"/>
          <w:sz w:val="24"/>
          <w:highlight w:val="none"/>
        </w:rPr>
        <w:t>（企业名称）,从业人员</w:t>
      </w:r>
      <w:r>
        <w:rPr>
          <w:rFonts w:hint="eastAsia" w:ascii="宋体" w:hAnsi="宋体"/>
          <w:color w:val="auto"/>
          <w:sz w:val="24"/>
          <w:highlight w:val="none"/>
          <w:u w:val="single"/>
        </w:rPr>
        <w:t xml:space="preserve">        </w:t>
      </w:r>
      <w:r>
        <w:rPr>
          <w:rFonts w:hint="eastAsia" w:ascii="宋体" w:hAnsi="宋体"/>
          <w:color w:val="auto"/>
          <w:sz w:val="24"/>
          <w:highlight w:val="none"/>
        </w:rPr>
        <w:t>人，营业收入为</w:t>
      </w:r>
      <w:r>
        <w:rPr>
          <w:rFonts w:hint="eastAsia" w:ascii="宋体" w:hAnsi="宋体"/>
          <w:color w:val="auto"/>
          <w:sz w:val="24"/>
          <w:highlight w:val="none"/>
          <w:u w:val="single"/>
        </w:rPr>
        <w:t xml:space="preserve">        </w:t>
      </w:r>
      <w:r>
        <w:rPr>
          <w:rFonts w:hint="eastAsia" w:ascii="宋体" w:hAnsi="宋体"/>
          <w:color w:val="auto"/>
          <w:sz w:val="24"/>
          <w:highlight w:val="none"/>
        </w:rPr>
        <w:t>万元，资产总额为</w:t>
      </w:r>
      <w:r>
        <w:rPr>
          <w:rFonts w:hint="eastAsia" w:ascii="宋体" w:hAnsi="宋体"/>
          <w:color w:val="auto"/>
          <w:sz w:val="24"/>
          <w:highlight w:val="none"/>
          <w:u w:val="single"/>
        </w:rPr>
        <w:t xml:space="preserve">        </w:t>
      </w:r>
      <w:r>
        <w:rPr>
          <w:rFonts w:hint="eastAsia" w:ascii="宋体" w:hAnsi="宋体"/>
          <w:color w:val="auto"/>
          <w:sz w:val="24"/>
          <w:highlight w:val="none"/>
        </w:rPr>
        <w:t>万元属于</w:t>
      </w:r>
      <w:r>
        <w:rPr>
          <w:rFonts w:hint="eastAsia" w:ascii="宋体" w:hAnsi="宋体"/>
          <w:color w:val="auto"/>
          <w:sz w:val="24"/>
          <w:highlight w:val="none"/>
          <w:u w:val="single"/>
        </w:rPr>
        <w:t xml:space="preserve">    </w:t>
      </w:r>
      <w:r>
        <w:rPr>
          <w:rFonts w:hint="eastAsia" w:ascii="宋体" w:hAnsi="宋体"/>
          <w:color w:val="auto"/>
          <w:sz w:val="24"/>
          <w:highlight w:val="none"/>
        </w:rPr>
        <w:t>（中型企业、小型企业、微型企业、监狱企业）。</w:t>
      </w:r>
    </w:p>
    <w:p>
      <w:pPr>
        <w:adjustRightIn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以上企业，不属于大企业的分支机构，不存在控股股东为大企业的情形，也不存在与大企业的负责人为同一人的情形。</w:t>
      </w:r>
    </w:p>
    <w:p>
      <w:pPr>
        <w:adjustRightIn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本企业对上述声明内容的真实性负责。如有虚假，将依法承担相应责任。</w:t>
      </w:r>
    </w:p>
    <w:p>
      <w:pPr>
        <w:adjustRightInd w:val="0"/>
        <w:spacing w:line="360" w:lineRule="auto"/>
        <w:ind w:firstLine="480" w:firstLineChars="200"/>
        <w:jc w:val="left"/>
        <w:rPr>
          <w:rFonts w:ascii="宋体" w:hAnsi="宋体"/>
          <w:color w:val="auto"/>
          <w:sz w:val="24"/>
          <w:highlight w:val="none"/>
        </w:rPr>
      </w:pPr>
    </w:p>
    <w:p>
      <w:pPr>
        <w:adjustRightIn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供应商名称（盖章）：</w:t>
      </w:r>
      <w:r>
        <w:rPr>
          <w:rFonts w:hint="eastAsia" w:ascii="宋体" w:hAnsi="宋体"/>
          <w:color w:val="auto"/>
          <w:sz w:val="24"/>
          <w:highlight w:val="none"/>
          <w:u w:val="single"/>
        </w:rPr>
        <w:t xml:space="preserve">                      </w:t>
      </w:r>
    </w:p>
    <w:p>
      <w:pPr>
        <w:spacing w:line="360" w:lineRule="auto"/>
        <w:ind w:firstLine="480" w:firstLineChars="200"/>
        <w:rPr>
          <w:rFonts w:ascii="新宋体" w:hAnsi="新宋体" w:eastAsia="新宋体"/>
          <w:color w:val="auto"/>
          <w:sz w:val="24"/>
          <w:highlight w:val="none"/>
        </w:rPr>
      </w:pPr>
      <w:r>
        <w:rPr>
          <w:rFonts w:hint="eastAsia" w:ascii="宋体" w:hAnsi="宋体"/>
          <w:color w:val="auto"/>
          <w:sz w:val="24"/>
          <w:highlight w:val="none"/>
        </w:rPr>
        <w:t>日    期：</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ascii="宋体" w:hAnsi="宋体"/>
          <w:color w:val="auto"/>
          <w:sz w:val="24"/>
          <w:highlight w:val="none"/>
        </w:rPr>
        <w:t>年</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ascii="宋体" w:hAnsi="宋体"/>
          <w:color w:val="auto"/>
          <w:sz w:val="24"/>
          <w:highlight w:val="none"/>
        </w:rPr>
        <w:t>月</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ascii="宋体" w:hAnsi="宋体"/>
          <w:color w:val="auto"/>
          <w:sz w:val="24"/>
          <w:highlight w:val="none"/>
        </w:rPr>
        <w:t>日</w:t>
      </w:r>
    </w:p>
    <w:p>
      <w:pPr>
        <w:tabs>
          <w:tab w:val="left" w:pos="7665"/>
        </w:tabs>
        <w:spacing w:line="360" w:lineRule="auto"/>
        <w:ind w:firstLine="480" w:firstLineChars="200"/>
        <w:rPr>
          <w:rFonts w:ascii="宋体" w:hAnsi="宋体" w:cs="宋体"/>
          <w:sz w:val="24"/>
          <w:highlight w:val="none"/>
        </w:rPr>
      </w:pPr>
      <w:r>
        <w:rPr>
          <w:rFonts w:hint="eastAsia" w:ascii="宋体" w:hAnsi="宋体" w:cs="宋体"/>
          <w:sz w:val="24"/>
          <w:highlight w:val="none"/>
        </w:rPr>
        <w:t>注：</w:t>
      </w:r>
    </w:p>
    <w:p>
      <w:pPr>
        <w:tabs>
          <w:tab w:val="left" w:pos="7665"/>
        </w:tabs>
        <w:spacing w:line="400" w:lineRule="exact"/>
        <w:rPr>
          <w:rFonts w:ascii="宋体" w:hAnsi="宋体" w:cs="宋体"/>
          <w:color w:val="auto"/>
          <w:sz w:val="24"/>
          <w:highlight w:val="none"/>
        </w:rPr>
      </w:pPr>
      <w:r>
        <w:rPr>
          <w:rFonts w:hint="eastAsia" w:ascii="宋体" w:hAnsi="宋体" w:cs="宋体"/>
          <w:color w:val="auto"/>
          <w:sz w:val="24"/>
          <w:highlight w:val="none"/>
        </w:rPr>
        <w:t>注：</w:t>
      </w:r>
    </w:p>
    <w:p>
      <w:pPr>
        <w:tabs>
          <w:tab w:val="left" w:pos="7665"/>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1.从业人员、营业收入、资产总额填报上一年度数据，无上一年度数据的新成立企业可不填报。</w:t>
      </w:r>
    </w:p>
    <w:p>
      <w:pPr>
        <w:tabs>
          <w:tab w:val="left" w:pos="7665"/>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供应商符合《工业和信息化部、国家统计局、国家发展和改革委员会、财政部关于印发中小企业划型标准规定的通知》（工信部联企业〔2011〕300号）或《政府采购支持监狱企业发展有关问题的通知》（财库〔2014〕68号）规定的划分标准为中小型企业或监狱企业适用。</w:t>
      </w:r>
    </w:p>
    <w:p>
      <w:pPr>
        <w:tabs>
          <w:tab w:val="left" w:pos="7665"/>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在政府采购活动中，监狱企业视同小型、微型企业，享受预留份额、评审中价格扣除等政府采购促进中小企业发展的政府采购政策。（监狱企业参加政府采购活动时，还应当提供由省级以上监狱管理局、戒毒管理局(含新疆生产建设兵团)出具的属于监狱企业的证明文件。）</w:t>
      </w:r>
    </w:p>
    <w:p>
      <w:pPr>
        <w:rPr>
          <w:color w:val="auto"/>
          <w:highlight w:val="none"/>
        </w:rPr>
      </w:pPr>
      <w:r>
        <w:rPr>
          <w:rFonts w:hint="eastAsia"/>
          <w:color w:val="auto"/>
          <w:highlight w:val="none"/>
        </w:rPr>
        <w:br w:type="page"/>
      </w:r>
    </w:p>
    <w:p>
      <w:pPr>
        <w:pStyle w:val="5"/>
        <w:spacing w:before="0" w:after="0" w:line="360" w:lineRule="auto"/>
        <w:jc w:val="center"/>
        <w:rPr>
          <w:rFonts w:ascii="仿宋" w:hAnsi="仿宋" w:eastAsia="仿宋" w:cs="宋体"/>
          <w:color w:val="auto"/>
          <w:spacing w:val="6"/>
          <w:sz w:val="24"/>
          <w:highlight w:val="none"/>
        </w:rPr>
      </w:pPr>
      <w:r>
        <w:rPr>
          <w:rFonts w:hint="eastAsia"/>
          <w:color w:val="auto"/>
          <w:highlight w:val="none"/>
        </w:rPr>
        <w:t>残疾人福利性单位声明函</w:t>
      </w:r>
    </w:p>
    <w:p>
      <w:pPr>
        <w:spacing w:line="360" w:lineRule="auto"/>
        <w:ind w:firstLine="504" w:firstLineChars="200"/>
        <w:rPr>
          <w:rFonts w:ascii="宋体" w:hAnsi="宋体" w:cs="宋体"/>
          <w:color w:val="auto"/>
          <w:spacing w:val="6"/>
          <w:sz w:val="24"/>
          <w:highlight w:val="none"/>
        </w:rPr>
      </w:pPr>
      <w:r>
        <w:rPr>
          <w:rFonts w:hint="eastAsia" w:ascii="宋体" w:hAnsi="宋体" w:cs="宋体"/>
          <w:color w:val="auto"/>
          <w:spacing w:val="6"/>
          <w:sz w:val="24"/>
          <w:highlight w:val="none"/>
        </w:rPr>
        <w:t>本单位郑重声明，根据《财政部 民政部 中国残疾人联合会关于促进残疾人就业政府采购政策的通知》（财库</w:t>
      </w:r>
      <w:r>
        <w:rPr>
          <w:rFonts w:hint="eastAsia" w:ascii="宋体" w:hAnsi="宋体" w:cs="宋体"/>
          <w:color w:val="auto"/>
          <w:sz w:val="24"/>
          <w:highlight w:val="none"/>
        </w:rPr>
        <w:t>〔2017〕 141</w:t>
      </w:r>
      <w:r>
        <w:rPr>
          <w:rFonts w:hint="eastAsia" w:ascii="宋体" w:hAnsi="宋体" w:cs="宋体"/>
          <w:color w:val="auto"/>
          <w:spacing w:val="6"/>
          <w:sz w:val="24"/>
          <w:highlight w:val="none"/>
        </w:rPr>
        <w:t>号）的规定，本单位为符合条件的残疾人福利性单位，且本单位参加</w:t>
      </w:r>
      <w:r>
        <w:rPr>
          <w:rFonts w:hint="eastAsia" w:ascii="宋体" w:hAnsi="宋体" w:cs="宋体"/>
          <w:color w:val="auto"/>
          <w:sz w:val="24"/>
          <w:highlight w:val="none"/>
          <w:u w:val="single"/>
        </w:rPr>
        <w:t xml:space="preserve"> XXXX </w:t>
      </w:r>
      <w:r>
        <w:rPr>
          <w:rFonts w:hint="eastAsia" w:ascii="宋体" w:hAnsi="宋体" w:cs="宋体"/>
          <w:color w:val="auto"/>
          <w:spacing w:val="6"/>
          <w:sz w:val="24"/>
          <w:highlight w:val="none"/>
        </w:rPr>
        <w:t>单位的</w:t>
      </w:r>
      <w:r>
        <w:rPr>
          <w:rFonts w:hint="eastAsia" w:ascii="宋体" w:hAnsi="宋体" w:cs="宋体"/>
          <w:color w:val="auto"/>
          <w:sz w:val="24"/>
          <w:highlight w:val="none"/>
          <w:u w:val="single"/>
        </w:rPr>
        <w:t xml:space="preserve"> XXXX </w:t>
      </w:r>
      <w:r>
        <w:rPr>
          <w:rFonts w:hint="eastAsia" w:ascii="宋体" w:hAnsi="宋体" w:cs="宋体"/>
          <w:color w:val="auto"/>
          <w:spacing w:val="6"/>
          <w:sz w:val="24"/>
          <w:highlight w:val="none"/>
        </w:rPr>
        <w:t>项目采购活动提供本单位制造的货物（由本单位承担工程/提供服务），或者提供其他残疾人福利性单位制造的货物（不包括使用非残疾人福利性单位注册商标的货物）。</w:t>
      </w:r>
    </w:p>
    <w:p>
      <w:pPr>
        <w:spacing w:line="360" w:lineRule="auto"/>
        <w:ind w:firstLine="504" w:firstLineChars="200"/>
        <w:rPr>
          <w:rFonts w:ascii="宋体" w:hAnsi="宋体" w:cs="宋体"/>
          <w:color w:val="auto"/>
          <w:spacing w:val="6"/>
          <w:sz w:val="24"/>
          <w:highlight w:val="none"/>
        </w:rPr>
      </w:pPr>
      <w:r>
        <w:rPr>
          <w:rFonts w:hint="eastAsia" w:ascii="宋体" w:hAnsi="宋体" w:cs="宋体"/>
          <w:color w:val="auto"/>
          <w:spacing w:val="6"/>
          <w:sz w:val="24"/>
          <w:highlight w:val="none"/>
        </w:rPr>
        <w:t>本单位对上述声明的真实性负责。如有虚假，将依法承担相应责任。</w:t>
      </w:r>
    </w:p>
    <w:p>
      <w:pPr>
        <w:spacing w:line="588" w:lineRule="exact"/>
        <w:rPr>
          <w:rFonts w:ascii="仿宋" w:hAnsi="仿宋" w:eastAsia="仿宋" w:cs="宋体"/>
          <w:color w:val="auto"/>
          <w:spacing w:val="6"/>
          <w:sz w:val="24"/>
          <w:highlight w:val="none"/>
        </w:rPr>
      </w:pPr>
    </w:p>
    <w:p>
      <w:pPr>
        <w:spacing w:line="588" w:lineRule="exact"/>
        <w:rPr>
          <w:rFonts w:ascii="仿宋" w:hAnsi="仿宋" w:eastAsia="仿宋" w:cs="宋体"/>
          <w:color w:val="auto"/>
          <w:spacing w:val="6"/>
          <w:sz w:val="24"/>
          <w:highlight w:val="none"/>
        </w:rPr>
      </w:pPr>
    </w:p>
    <w:p>
      <w:pPr>
        <w:adjustRightIn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供应商名称（盖章）：</w:t>
      </w:r>
      <w:r>
        <w:rPr>
          <w:rFonts w:hint="eastAsia" w:ascii="宋体" w:hAnsi="宋体"/>
          <w:color w:val="auto"/>
          <w:sz w:val="24"/>
          <w:highlight w:val="none"/>
          <w:u w:val="single"/>
        </w:rPr>
        <w:t xml:space="preserve">                      </w:t>
      </w:r>
    </w:p>
    <w:p>
      <w:pPr>
        <w:adjustRightIn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法定代表人或授权代表（签字或加盖个人名章）：</w:t>
      </w:r>
      <w:r>
        <w:rPr>
          <w:rFonts w:hint="eastAsia" w:ascii="宋体" w:hAnsi="宋体"/>
          <w:color w:val="auto"/>
          <w:sz w:val="24"/>
          <w:highlight w:val="none"/>
          <w:u w:val="single"/>
        </w:rPr>
        <w:t xml:space="preserve">           </w:t>
      </w:r>
    </w:p>
    <w:p>
      <w:pPr>
        <w:spacing w:line="360" w:lineRule="auto"/>
        <w:ind w:firstLine="480" w:firstLineChars="200"/>
        <w:rPr>
          <w:rFonts w:ascii="新宋体" w:hAnsi="新宋体" w:eastAsia="新宋体"/>
          <w:color w:val="auto"/>
          <w:sz w:val="24"/>
          <w:highlight w:val="none"/>
        </w:rPr>
      </w:pPr>
      <w:r>
        <w:rPr>
          <w:rFonts w:hint="eastAsia" w:ascii="宋体" w:hAnsi="宋体"/>
          <w:color w:val="auto"/>
          <w:sz w:val="24"/>
          <w:highlight w:val="none"/>
        </w:rPr>
        <w:t>日    期：</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ascii="宋体" w:hAnsi="宋体"/>
          <w:color w:val="auto"/>
          <w:sz w:val="24"/>
          <w:highlight w:val="none"/>
        </w:rPr>
        <w:t>年</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ascii="宋体" w:hAnsi="宋体"/>
          <w:color w:val="auto"/>
          <w:sz w:val="24"/>
          <w:highlight w:val="none"/>
        </w:rPr>
        <w:t>月</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ascii="宋体" w:hAnsi="宋体"/>
          <w:color w:val="auto"/>
          <w:sz w:val="24"/>
          <w:highlight w:val="none"/>
        </w:rPr>
        <w:t>日</w:t>
      </w:r>
    </w:p>
    <w:p>
      <w:pPr>
        <w:spacing w:line="360" w:lineRule="auto"/>
        <w:rPr>
          <w:rFonts w:ascii="仿宋" w:hAnsi="仿宋" w:eastAsia="仿宋" w:cs="宋体"/>
          <w:color w:val="auto"/>
          <w:sz w:val="24"/>
          <w:highlight w:val="none"/>
        </w:rPr>
      </w:pPr>
    </w:p>
    <w:p>
      <w:pPr>
        <w:spacing w:line="360" w:lineRule="auto"/>
        <w:rPr>
          <w:rFonts w:ascii="宋体" w:hAnsi="宋体" w:cs="宋体"/>
          <w:color w:val="auto"/>
          <w:sz w:val="24"/>
          <w:highlight w:val="none"/>
        </w:rPr>
      </w:pPr>
      <w:r>
        <w:rPr>
          <w:rFonts w:hint="eastAsia" w:ascii="宋体" w:hAnsi="宋体" w:cs="宋体"/>
          <w:color w:val="auto"/>
          <w:sz w:val="24"/>
          <w:highlight w:val="none"/>
        </w:rPr>
        <w:t>注：</w:t>
      </w:r>
    </w:p>
    <w:p>
      <w:pPr>
        <w:spacing w:after="160" w:line="360" w:lineRule="auto"/>
        <w:rPr>
          <w:rFonts w:ascii="宋体" w:hAnsi="宋体" w:cs="宋体"/>
          <w:color w:val="auto"/>
          <w:sz w:val="24"/>
          <w:highlight w:val="none"/>
        </w:rPr>
      </w:pPr>
      <w:r>
        <w:rPr>
          <w:rFonts w:hint="eastAsia" w:ascii="宋体" w:hAnsi="宋体" w:cs="宋体"/>
          <w:color w:val="auto"/>
          <w:sz w:val="24"/>
          <w:highlight w:val="none"/>
        </w:rPr>
        <w:t>1.残疾人福利性单位视同小型、微型企业，享受预留份额、评审中价格扣除等促进中小企业发展的政府采购政策。残疾人福利性单位属于小型、微型企业的，不重复享受政策。</w:t>
      </w:r>
    </w:p>
    <w:p>
      <w:pPr>
        <w:spacing w:after="160" w:line="360" w:lineRule="auto"/>
        <w:rPr>
          <w:rFonts w:ascii="宋体" w:hAnsi="宋体" w:cs="宋体"/>
          <w:b/>
          <w:bCs/>
          <w:color w:val="auto"/>
          <w:sz w:val="24"/>
          <w:highlight w:val="none"/>
        </w:rPr>
      </w:pPr>
      <w:r>
        <w:rPr>
          <w:rFonts w:hint="eastAsia" w:ascii="宋体" w:hAnsi="宋体" w:cs="宋体"/>
          <w:b/>
          <w:bCs/>
          <w:color w:val="auto"/>
          <w:sz w:val="24"/>
          <w:highlight w:val="none"/>
        </w:rPr>
        <w:t>2.供应商为非残疾人福利性单位的，可不提供此声明。</w:t>
      </w:r>
    </w:p>
    <w:p>
      <w:pPr>
        <w:pStyle w:val="3"/>
        <w:spacing w:before="0" w:after="0" w:line="360" w:lineRule="auto"/>
        <w:jc w:val="center"/>
        <w:outlineLvl w:val="0"/>
        <w:rPr>
          <w:color w:val="auto"/>
          <w:highlight w:val="none"/>
        </w:rPr>
      </w:pPr>
      <w:r>
        <w:rPr>
          <w:rFonts w:hint="eastAsia"/>
          <w:color w:val="auto"/>
          <w:highlight w:val="none"/>
        </w:rPr>
        <w:br w:type="page"/>
      </w:r>
      <w:bookmarkStart w:id="158" w:name="_Toc32541_WPSOffice_Level1"/>
      <w:bookmarkStart w:id="159" w:name="_Toc8631"/>
      <w:bookmarkStart w:id="160" w:name="_Toc8290_WPSOffice_Level1"/>
      <w:r>
        <w:rPr>
          <w:rFonts w:hint="eastAsia"/>
          <w:color w:val="auto"/>
          <w:highlight w:val="none"/>
        </w:rPr>
        <w:t>第八章  评审方法</w:t>
      </w:r>
      <w:bookmarkEnd w:id="158"/>
      <w:bookmarkEnd w:id="159"/>
      <w:bookmarkEnd w:id="160"/>
    </w:p>
    <w:p>
      <w:pPr>
        <w:pStyle w:val="5"/>
        <w:keepNext w:val="0"/>
        <w:keepLines w:val="0"/>
        <w:spacing w:before="0" w:after="0" w:line="400" w:lineRule="exact"/>
        <w:ind w:firstLine="472" w:firstLineChars="196"/>
        <w:rPr>
          <w:rFonts w:ascii="宋体" w:hAnsi="宋体" w:eastAsia="宋体"/>
          <w:color w:val="auto"/>
          <w:sz w:val="24"/>
          <w:szCs w:val="24"/>
          <w:highlight w:val="none"/>
        </w:rPr>
      </w:pPr>
      <w:bookmarkStart w:id="161" w:name="_Toc28831_WPSOffice_Level2"/>
      <w:bookmarkStart w:id="162" w:name="_Toc3628_WPSOffice_Level2"/>
      <w:bookmarkStart w:id="163" w:name="_Toc209847065"/>
      <w:bookmarkStart w:id="164" w:name="_Toc101250640"/>
      <w:bookmarkStart w:id="165" w:name="_Toc101174146"/>
      <w:bookmarkStart w:id="166" w:name="_Toc101338358"/>
      <w:bookmarkStart w:id="167" w:name="_Toc430773924"/>
      <w:r>
        <w:rPr>
          <w:rFonts w:hint="eastAsia" w:ascii="宋体" w:hAnsi="宋体" w:eastAsia="宋体"/>
          <w:color w:val="auto"/>
          <w:sz w:val="24"/>
          <w:szCs w:val="24"/>
          <w:highlight w:val="none"/>
        </w:rPr>
        <w:t>1.总则</w:t>
      </w:r>
      <w:bookmarkEnd w:id="161"/>
      <w:bookmarkEnd w:id="162"/>
    </w:p>
    <w:p>
      <w:pPr>
        <w:spacing w:line="360" w:lineRule="auto"/>
        <w:ind w:firstLine="470" w:firstLineChars="196"/>
        <w:rPr>
          <w:rFonts w:ascii="宋体" w:hAnsi="宋体"/>
          <w:color w:val="auto"/>
          <w:sz w:val="24"/>
          <w:highlight w:val="none"/>
        </w:rPr>
      </w:pPr>
      <w:r>
        <w:rPr>
          <w:rFonts w:hint="eastAsia" w:ascii="宋体" w:hAnsi="宋体"/>
          <w:color w:val="auto"/>
          <w:sz w:val="24"/>
          <w:highlight w:val="none"/>
        </w:rPr>
        <w:t>1.1根据《中华人民共和国政府采购法》、《中华人民共和国政府采购法实施条例》、《政府采购竞争性磋商采购方式管理暂行办法》等法律制度，结合本采购项目特点制定本磋商方法。</w:t>
      </w:r>
    </w:p>
    <w:p>
      <w:pPr>
        <w:spacing w:line="360" w:lineRule="auto"/>
        <w:ind w:firstLine="470" w:firstLineChars="196"/>
        <w:rPr>
          <w:rFonts w:ascii="宋体" w:hAnsi="宋体"/>
          <w:color w:val="auto"/>
          <w:sz w:val="24"/>
          <w:highlight w:val="none"/>
        </w:rPr>
      </w:pPr>
      <w:r>
        <w:rPr>
          <w:rFonts w:hint="eastAsia" w:ascii="宋体" w:hAnsi="宋体"/>
          <w:color w:val="auto"/>
          <w:sz w:val="24"/>
          <w:highlight w:val="none"/>
        </w:rPr>
        <w:t>1.2磋商工作由采购代理机构负责组织，具体磋商由采购人/采购代理机构依法组建的磋商小组负责。</w:t>
      </w:r>
    </w:p>
    <w:p>
      <w:pPr>
        <w:spacing w:line="360" w:lineRule="auto"/>
        <w:ind w:firstLine="470" w:firstLineChars="196"/>
        <w:rPr>
          <w:rFonts w:ascii="宋体" w:hAnsi="宋体"/>
          <w:color w:val="auto"/>
          <w:sz w:val="24"/>
          <w:highlight w:val="none"/>
        </w:rPr>
      </w:pPr>
      <w:r>
        <w:rPr>
          <w:rFonts w:hint="eastAsia" w:ascii="宋体" w:hAnsi="宋体"/>
          <w:color w:val="auto"/>
          <w:sz w:val="24"/>
          <w:highlight w:val="none"/>
        </w:rPr>
        <w:t>1.3磋商工作应遵循公平、公正、科学及择优的原则，并以相同的磋商程序和标准对待所有的供应商。</w:t>
      </w:r>
    </w:p>
    <w:p>
      <w:pPr>
        <w:spacing w:line="360" w:lineRule="auto"/>
        <w:ind w:firstLine="470" w:firstLineChars="196"/>
        <w:rPr>
          <w:rFonts w:ascii="宋体" w:hAnsi="宋体"/>
          <w:color w:val="auto"/>
          <w:sz w:val="24"/>
          <w:highlight w:val="none"/>
        </w:rPr>
      </w:pPr>
      <w:r>
        <w:rPr>
          <w:rFonts w:hint="eastAsia" w:ascii="宋体" w:hAnsi="宋体"/>
          <w:color w:val="auto"/>
          <w:sz w:val="24"/>
          <w:highlight w:val="none"/>
        </w:rPr>
        <w:t>1.4磋商小组按照磋商文件规定的磋商程序、评分方法和标准进行评审，并独立履行下列职责：</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（1）熟悉和理解磋商文件，确定磋商文件内容是否违反国家有关强制性规定或者磋商文件存在歧义、重大缺陷，根据需要书面要求采购人、采购代理机构对磋商文件作出解释；</w:t>
      </w:r>
    </w:p>
    <w:p>
      <w:pPr>
        <w:spacing w:line="360" w:lineRule="auto"/>
        <w:ind w:firstLine="470" w:firstLineChars="196"/>
        <w:rPr>
          <w:rFonts w:ascii="宋体" w:hAnsi="宋体"/>
          <w:color w:val="auto"/>
          <w:sz w:val="24"/>
          <w:highlight w:val="none"/>
        </w:rPr>
      </w:pPr>
      <w:r>
        <w:rPr>
          <w:rFonts w:hint="eastAsia" w:ascii="宋体" w:hAnsi="宋体"/>
          <w:color w:val="auto"/>
          <w:sz w:val="24"/>
          <w:highlight w:val="none"/>
        </w:rPr>
        <w:t>（2）审查供应商响应文件是否满足磋商文件要求，并作出公正评价；</w:t>
      </w:r>
    </w:p>
    <w:p>
      <w:pPr>
        <w:spacing w:line="360" w:lineRule="auto"/>
        <w:ind w:firstLine="470" w:firstLineChars="196"/>
        <w:rPr>
          <w:rFonts w:ascii="宋体" w:hAnsi="宋体"/>
          <w:color w:val="auto"/>
          <w:sz w:val="24"/>
          <w:highlight w:val="none"/>
        </w:rPr>
      </w:pPr>
      <w:r>
        <w:rPr>
          <w:rFonts w:hint="eastAsia" w:ascii="宋体" w:hAnsi="宋体"/>
          <w:color w:val="auto"/>
          <w:sz w:val="24"/>
          <w:highlight w:val="none"/>
        </w:rPr>
        <w:t>（3）根据需要要求供应商对响应文件中含义不明确、同类问题表述不一致或者有明显文字和计算错误的内容等作出必要的澄清、说明或者更正；</w:t>
      </w:r>
    </w:p>
    <w:p>
      <w:pPr>
        <w:spacing w:line="360" w:lineRule="auto"/>
        <w:ind w:firstLine="470" w:firstLineChars="196"/>
        <w:rPr>
          <w:rFonts w:ascii="宋体" w:hAnsi="宋体"/>
          <w:color w:val="auto"/>
          <w:sz w:val="24"/>
          <w:highlight w:val="none"/>
        </w:rPr>
      </w:pPr>
      <w:r>
        <w:rPr>
          <w:rFonts w:hint="eastAsia" w:ascii="宋体" w:hAnsi="宋体"/>
          <w:color w:val="auto"/>
          <w:sz w:val="24"/>
          <w:highlight w:val="none"/>
        </w:rPr>
        <w:t>（4）推荐成交供应商，或者受采购人委托确定成交供应商；</w:t>
      </w:r>
    </w:p>
    <w:p>
      <w:pPr>
        <w:spacing w:line="360" w:lineRule="auto"/>
        <w:ind w:firstLine="470" w:firstLineChars="196"/>
        <w:rPr>
          <w:rFonts w:ascii="宋体" w:hAnsi="宋体"/>
          <w:color w:val="auto"/>
          <w:sz w:val="24"/>
          <w:highlight w:val="none"/>
        </w:rPr>
      </w:pPr>
      <w:r>
        <w:rPr>
          <w:rFonts w:hint="eastAsia" w:ascii="宋体" w:hAnsi="宋体"/>
          <w:color w:val="auto"/>
          <w:sz w:val="24"/>
          <w:highlight w:val="none"/>
        </w:rPr>
        <w:t>（5）起草评审报告并进行签署；</w:t>
      </w:r>
    </w:p>
    <w:p>
      <w:pPr>
        <w:spacing w:line="360" w:lineRule="auto"/>
        <w:ind w:firstLine="470" w:firstLineChars="196"/>
        <w:rPr>
          <w:rFonts w:ascii="宋体" w:hAnsi="宋体"/>
          <w:color w:val="auto"/>
          <w:sz w:val="24"/>
          <w:highlight w:val="none"/>
        </w:rPr>
      </w:pPr>
      <w:r>
        <w:rPr>
          <w:rFonts w:hint="eastAsia" w:ascii="宋体" w:hAnsi="宋体"/>
          <w:color w:val="auto"/>
          <w:sz w:val="24"/>
          <w:highlight w:val="none"/>
        </w:rPr>
        <w:t>（6）向采购人/采购代理机构、财政部门或者其他监督部门报告非法干预评审工作的行为；</w:t>
      </w:r>
    </w:p>
    <w:p>
      <w:pPr>
        <w:spacing w:line="360" w:lineRule="auto"/>
        <w:ind w:firstLine="470" w:firstLineChars="196"/>
        <w:rPr>
          <w:rFonts w:ascii="宋体" w:hAnsi="宋体"/>
          <w:color w:val="auto"/>
          <w:sz w:val="24"/>
          <w:highlight w:val="none"/>
        </w:rPr>
      </w:pPr>
      <w:r>
        <w:rPr>
          <w:rFonts w:hint="eastAsia" w:ascii="宋体" w:hAnsi="宋体"/>
          <w:color w:val="auto"/>
          <w:sz w:val="24"/>
          <w:highlight w:val="none"/>
        </w:rPr>
        <w:t>（7）法律、法规和规章规定的其他职责。</w:t>
      </w:r>
    </w:p>
    <w:p>
      <w:pPr>
        <w:spacing w:line="360" w:lineRule="auto"/>
        <w:ind w:firstLine="470" w:firstLineChars="196"/>
        <w:rPr>
          <w:rFonts w:ascii="宋体" w:hAnsi="宋体"/>
          <w:color w:val="auto"/>
          <w:sz w:val="24"/>
          <w:highlight w:val="none"/>
        </w:rPr>
      </w:pPr>
      <w:r>
        <w:rPr>
          <w:rFonts w:hint="eastAsia" w:ascii="宋体" w:hAnsi="宋体"/>
          <w:color w:val="auto"/>
          <w:sz w:val="24"/>
          <w:highlight w:val="none"/>
        </w:rPr>
        <w:t>1.5</w:t>
      </w:r>
      <w:r>
        <w:rPr>
          <w:rFonts w:hint="eastAsia" w:ascii="宋体" w:hAnsi="宋体"/>
          <w:b/>
          <w:bCs/>
          <w:color w:val="auto"/>
          <w:sz w:val="24"/>
          <w:highlight w:val="none"/>
        </w:rPr>
        <w:t>（实质性要求）</w:t>
      </w:r>
      <w:r>
        <w:rPr>
          <w:rFonts w:hint="eastAsia" w:ascii="宋体" w:hAnsi="宋体"/>
          <w:color w:val="auto"/>
          <w:sz w:val="24"/>
          <w:highlight w:val="none"/>
        </w:rPr>
        <w:t>磋商过程独立、保密。供应商非法干预磋商过程的，其响应文件作无效处理。</w:t>
      </w:r>
    </w:p>
    <w:p>
      <w:pPr>
        <w:rPr>
          <w:color w:val="auto"/>
          <w:highlight w:val="none"/>
        </w:rPr>
      </w:pPr>
    </w:p>
    <w:p>
      <w:pPr>
        <w:pStyle w:val="5"/>
        <w:keepNext w:val="0"/>
        <w:keepLines w:val="0"/>
        <w:spacing w:before="0" w:after="0" w:line="360" w:lineRule="auto"/>
        <w:ind w:firstLine="472" w:firstLineChars="196"/>
        <w:rPr>
          <w:rFonts w:ascii="宋体" w:hAnsi="宋体" w:eastAsia="宋体"/>
          <w:color w:val="auto"/>
          <w:sz w:val="24"/>
          <w:szCs w:val="24"/>
          <w:highlight w:val="none"/>
        </w:rPr>
      </w:pPr>
      <w:bookmarkStart w:id="168" w:name="_Toc17993_WPSOffice_Level2"/>
      <w:bookmarkStart w:id="169" w:name="_Toc28315_WPSOffice_Level2"/>
      <w:r>
        <w:rPr>
          <w:rFonts w:hint="eastAsia" w:ascii="宋体" w:hAnsi="宋体" w:eastAsia="宋体"/>
          <w:color w:val="auto"/>
          <w:sz w:val="24"/>
          <w:szCs w:val="24"/>
          <w:highlight w:val="none"/>
        </w:rPr>
        <w:t>2.磋商程序</w:t>
      </w:r>
      <w:bookmarkEnd w:id="168"/>
      <w:bookmarkEnd w:id="169"/>
    </w:p>
    <w:p>
      <w:pPr>
        <w:spacing w:line="360" w:lineRule="auto"/>
        <w:ind w:firstLine="470" w:firstLineChars="196"/>
        <w:rPr>
          <w:rFonts w:ascii="宋体" w:hAnsi="宋体"/>
          <w:color w:val="auto"/>
          <w:sz w:val="24"/>
          <w:highlight w:val="none"/>
        </w:rPr>
      </w:pPr>
      <w:r>
        <w:rPr>
          <w:rFonts w:hint="eastAsia" w:ascii="宋体" w:hAnsi="宋体"/>
          <w:color w:val="auto"/>
          <w:sz w:val="24"/>
          <w:highlight w:val="none"/>
        </w:rPr>
        <w:t>2.1审查磋商文件和停止评审。</w:t>
      </w:r>
    </w:p>
    <w:p>
      <w:pPr>
        <w:spacing w:line="360" w:lineRule="auto"/>
        <w:ind w:firstLine="470" w:firstLineChars="196"/>
        <w:rPr>
          <w:rFonts w:ascii="宋体" w:hAnsi="宋体"/>
          <w:color w:val="auto"/>
          <w:sz w:val="24"/>
          <w:highlight w:val="none"/>
        </w:rPr>
      </w:pPr>
      <w:r>
        <w:rPr>
          <w:rFonts w:hint="eastAsia" w:ascii="宋体" w:hAnsi="宋体"/>
          <w:color w:val="auto"/>
          <w:sz w:val="24"/>
          <w:highlight w:val="none"/>
        </w:rPr>
        <w:t>2.1.1 磋商小组正式评审前，应当对磋商文件进行熟悉和理解，内容主要包括磋商文件中供应商资格条件要求、采购项目技术、服务和商务要求、磋商办法和标准、政府采购政策要求以及政府采购合同主要条款等。</w:t>
      </w:r>
    </w:p>
    <w:p>
      <w:pPr>
        <w:spacing w:line="360" w:lineRule="auto"/>
        <w:ind w:firstLine="470" w:firstLineChars="196"/>
        <w:rPr>
          <w:rFonts w:ascii="宋体" w:hAnsi="宋体"/>
          <w:color w:val="auto"/>
          <w:sz w:val="24"/>
          <w:highlight w:val="none"/>
        </w:rPr>
      </w:pPr>
      <w:r>
        <w:rPr>
          <w:rFonts w:hint="eastAsia" w:ascii="宋体" w:hAnsi="宋体"/>
          <w:color w:val="auto"/>
          <w:sz w:val="24"/>
          <w:highlight w:val="none"/>
        </w:rPr>
        <w:t>2.1.2 本磋商文件有下列情形之一的，磋商小组应当停止评审：</w:t>
      </w:r>
    </w:p>
    <w:p>
      <w:pPr>
        <w:spacing w:line="360" w:lineRule="auto"/>
        <w:ind w:firstLine="470" w:firstLineChars="196"/>
        <w:rPr>
          <w:rFonts w:ascii="宋体" w:hAnsi="宋体"/>
          <w:color w:val="auto"/>
          <w:sz w:val="24"/>
          <w:highlight w:val="none"/>
        </w:rPr>
      </w:pPr>
      <w:r>
        <w:rPr>
          <w:rFonts w:hint="eastAsia" w:ascii="宋体" w:hAnsi="宋体"/>
          <w:color w:val="auto"/>
          <w:sz w:val="24"/>
          <w:highlight w:val="none"/>
        </w:rPr>
        <w:t>（1）磋商文件的规定存在歧义、重大缺陷的；</w:t>
      </w:r>
    </w:p>
    <w:p>
      <w:pPr>
        <w:spacing w:line="360" w:lineRule="auto"/>
        <w:ind w:firstLine="470" w:firstLineChars="196"/>
        <w:rPr>
          <w:rFonts w:ascii="宋体" w:hAnsi="宋体"/>
          <w:color w:val="auto"/>
          <w:sz w:val="24"/>
          <w:highlight w:val="none"/>
        </w:rPr>
      </w:pPr>
      <w:r>
        <w:rPr>
          <w:rFonts w:hint="eastAsia" w:ascii="宋体" w:hAnsi="宋体"/>
          <w:color w:val="auto"/>
          <w:sz w:val="24"/>
          <w:highlight w:val="none"/>
        </w:rPr>
        <w:t>（2）磋商文件明显以不合理条件对供应商实行差别待遇或者歧视待遇的；</w:t>
      </w:r>
    </w:p>
    <w:p>
      <w:pPr>
        <w:spacing w:line="360" w:lineRule="auto"/>
        <w:ind w:firstLine="470" w:firstLineChars="196"/>
        <w:rPr>
          <w:rFonts w:ascii="宋体" w:hAnsi="宋体"/>
          <w:color w:val="auto"/>
          <w:sz w:val="24"/>
          <w:highlight w:val="none"/>
        </w:rPr>
      </w:pPr>
      <w:r>
        <w:rPr>
          <w:rFonts w:hint="eastAsia" w:ascii="宋体" w:hAnsi="宋体"/>
          <w:color w:val="auto"/>
          <w:sz w:val="24"/>
          <w:highlight w:val="none"/>
        </w:rPr>
        <w:t>（3）采购项目属于国家规定的优先、强制采购范围，但是磋商文件未依法体现优先、强制采购相关规定的；</w:t>
      </w:r>
    </w:p>
    <w:p>
      <w:pPr>
        <w:spacing w:line="360" w:lineRule="auto"/>
        <w:ind w:firstLine="470" w:firstLineChars="196"/>
        <w:rPr>
          <w:rFonts w:ascii="宋体" w:hAnsi="宋体"/>
          <w:color w:val="auto"/>
          <w:sz w:val="24"/>
          <w:highlight w:val="none"/>
        </w:rPr>
      </w:pPr>
      <w:r>
        <w:rPr>
          <w:rFonts w:hint="eastAsia" w:ascii="宋体" w:hAnsi="宋体"/>
          <w:color w:val="auto"/>
          <w:sz w:val="24"/>
          <w:highlight w:val="none"/>
        </w:rPr>
        <w:t>（4）采购项目属于政府采购促进中小企业发展的范围，但是磋商文件未依法体现促进中小企业发展相关规定的；</w:t>
      </w:r>
    </w:p>
    <w:p>
      <w:pPr>
        <w:spacing w:line="360" w:lineRule="auto"/>
        <w:ind w:firstLine="470" w:firstLineChars="196"/>
        <w:rPr>
          <w:rFonts w:ascii="宋体" w:hAnsi="宋体"/>
          <w:color w:val="auto"/>
          <w:sz w:val="24"/>
          <w:highlight w:val="none"/>
        </w:rPr>
      </w:pPr>
      <w:r>
        <w:rPr>
          <w:rFonts w:hint="eastAsia" w:ascii="宋体" w:hAnsi="宋体"/>
          <w:color w:val="auto"/>
          <w:sz w:val="24"/>
          <w:highlight w:val="none"/>
        </w:rPr>
        <w:t>（5）磋商文件将供应商的资格条件列为评分因素的；</w:t>
      </w:r>
    </w:p>
    <w:p>
      <w:pPr>
        <w:spacing w:line="360" w:lineRule="auto"/>
        <w:ind w:firstLine="470" w:firstLineChars="196"/>
        <w:rPr>
          <w:rFonts w:ascii="宋体" w:hAnsi="宋体"/>
          <w:color w:val="auto"/>
          <w:sz w:val="24"/>
          <w:highlight w:val="none"/>
        </w:rPr>
      </w:pPr>
      <w:r>
        <w:rPr>
          <w:rFonts w:hint="eastAsia" w:ascii="宋体" w:hAnsi="宋体"/>
          <w:color w:val="auto"/>
          <w:sz w:val="24"/>
          <w:highlight w:val="none"/>
        </w:rPr>
        <w:t>（6）磋商文件载明的成交原则不合法的；</w:t>
      </w:r>
    </w:p>
    <w:p>
      <w:pPr>
        <w:spacing w:line="360" w:lineRule="auto"/>
        <w:ind w:firstLine="470" w:firstLineChars="196"/>
        <w:rPr>
          <w:rFonts w:ascii="宋体" w:hAnsi="宋体"/>
          <w:color w:val="auto"/>
          <w:sz w:val="24"/>
          <w:highlight w:val="none"/>
        </w:rPr>
      </w:pPr>
      <w:r>
        <w:rPr>
          <w:rFonts w:hint="eastAsia" w:ascii="宋体" w:hAnsi="宋体"/>
          <w:color w:val="auto"/>
          <w:sz w:val="24"/>
          <w:highlight w:val="none"/>
        </w:rPr>
        <w:t>（7）磋商文件有违反国家其他有关强制性规定的情形。</w:t>
      </w:r>
    </w:p>
    <w:p>
      <w:pPr>
        <w:spacing w:line="360" w:lineRule="auto"/>
        <w:ind w:firstLine="470" w:firstLineChars="196"/>
        <w:rPr>
          <w:rFonts w:ascii="宋体" w:hAnsi="宋体"/>
          <w:color w:val="auto"/>
          <w:sz w:val="24"/>
          <w:highlight w:val="none"/>
        </w:rPr>
      </w:pPr>
      <w:r>
        <w:rPr>
          <w:rFonts w:hint="eastAsia" w:ascii="宋体" w:hAnsi="宋体"/>
          <w:color w:val="auto"/>
          <w:sz w:val="24"/>
          <w:highlight w:val="none"/>
        </w:rPr>
        <w:t>2.1.3 出现本条2.1.2规定应当停止评审情形的，磋商小组应当向采购人书面说明情况。除本条规定的情形外，磋商小组不得以任何方式和理由停止评审。</w:t>
      </w:r>
    </w:p>
    <w:p>
      <w:pPr>
        <w:spacing w:line="360" w:lineRule="auto"/>
        <w:ind w:firstLine="470" w:firstLineChars="196"/>
        <w:rPr>
          <w:rFonts w:ascii="宋体" w:hAnsi="宋体"/>
          <w:color w:val="auto"/>
          <w:sz w:val="24"/>
          <w:highlight w:val="none"/>
        </w:rPr>
      </w:pPr>
      <w:r>
        <w:rPr>
          <w:rFonts w:hint="eastAsia" w:ascii="宋体" w:hAnsi="宋体"/>
          <w:color w:val="auto"/>
          <w:sz w:val="24"/>
          <w:highlight w:val="none"/>
        </w:rPr>
        <w:t>2.2资格性审查。</w:t>
      </w:r>
    </w:p>
    <w:p>
      <w:pPr>
        <w:spacing w:line="360" w:lineRule="auto"/>
        <w:ind w:firstLine="470" w:firstLineChars="196"/>
        <w:rPr>
          <w:rFonts w:ascii="宋体" w:hAnsi="宋体"/>
          <w:color w:val="auto"/>
          <w:sz w:val="24"/>
          <w:highlight w:val="none"/>
        </w:rPr>
      </w:pPr>
      <w:r>
        <w:rPr>
          <w:rFonts w:hint="eastAsia" w:ascii="宋体" w:hAnsi="宋体"/>
          <w:color w:val="auto"/>
          <w:sz w:val="24"/>
          <w:highlight w:val="none"/>
        </w:rPr>
        <w:t>2.2.1本项目需要磋商小组进行资格性检查。</w:t>
      </w:r>
    </w:p>
    <w:p>
      <w:pPr>
        <w:spacing w:line="360" w:lineRule="auto"/>
        <w:ind w:firstLine="470" w:firstLineChars="196"/>
        <w:rPr>
          <w:rFonts w:ascii="宋体" w:hAnsi="宋体"/>
          <w:color w:val="auto"/>
          <w:sz w:val="24"/>
          <w:highlight w:val="none"/>
        </w:rPr>
      </w:pPr>
      <w:r>
        <w:rPr>
          <w:rFonts w:hint="eastAsia" w:ascii="宋体" w:hAnsi="宋体"/>
          <w:color w:val="auto"/>
          <w:sz w:val="24"/>
          <w:highlight w:val="none"/>
        </w:rPr>
        <w:t>磋商小组应依据法律法规和磋商文件的规定，对响应文件是否按照规定要求提供资格性证明材料、是否属于禁止参加磋商的供应商等进行审查，以确定供应商是否具备磋商资格。</w:t>
      </w:r>
    </w:p>
    <w:p>
      <w:pPr>
        <w:spacing w:line="360" w:lineRule="auto"/>
        <w:ind w:firstLine="470" w:firstLineChars="196"/>
        <w:rPr>
          <w:rFonts w:ascii="宋体" w:hAnsi="宋体"/>
          <w:color w:val="auto"/>
          <w:sz w:val="24"/>
          <w:highlight w:val="none"/>
        </w:rPr>
      </w:pPr>
      <w:r>
        <w:rPr>
          <w:rFonts w:hint="eastAsia" w:ascii="宋体" w:hAnsi="宋体"/>
          <w:color w:val="auto"/>
          <w:sz w:val="24"/>
          <w:highlight w:val="none"/>
        </w:rPr>
        <w:t>2.2.2资格性审查结束后，磋商小组应当出具资格性审查报告，没有通过资格审查的供应商，磋商小组应当在资格审查报告中说明原因。</w:t>
      </w:r>
    </w:p>
    <w:p>
      <w:pPr>
        <w:spacing w:line="360" w:lineRule="auto"/>
        <w:ind w:firstLine="470" w:firstLineChars="196"/>
        <w:rPr>
          <w:rFonts w:ascii="宋体" w:hAnsi="宋体"/>
          <w:color w:val="auto"/>
          <w:sz w:val="24"/>
          <w:highlight w:val="none"/>
        </w:rPr>
      </w:pPr>
      <w:r>
        <w:rPr>
          <w:rFonts w:hint="eastAsia" w:ascii="宋体" w:hAnsi="宋体"/>
          <w:color w:val="auto"/>
          <w:sz w:val="24"/>
          <w:highlight w:val="none"/>
        </w:rPr>
        <w:t>2.2.3磋商小组应依据磋商文件规定的实质性要求，对符合资格的响应文件进行有效性、完整性和响应程度审查，以确定参加磋商的供应商名单。</w:t>
      </w:r>
    </w:p>
    <w:p>
      <w:pPr>
        <w:spacing w:line="360" w:lineRule="auto"/>
        <w:ind w:firstLine="470" w:firstLineChars="196"/>
        <w:rPr>
          <w:rFonts w:ascii="宋体" w:hAnsi="宋体"/>
          <w:color w:val="auto"/>
          <w:sz w:val="24"/>
          <w:highlight w:val="none"/>
        </w:rPr>
      </w:pPr>
      <w:r>
        <w:rPr>
          <w:rFonts w:hint="eastAsia" w:ascii="宋体" w:hAnsi="宋体"/>
          <w:color w:val="auto"/>
          <w:sz w:val="24"/>
          <w:highlight w:val="none"/>
        </w:rPr>
        <w:t>2.2.4采购人或者采购代理机构宣布未通过资格性审查的供应商名单时，应当告知供应商未通过审查的原因。</w:t>
      </w:r>
    </w:p>
    <w:p>
      <w:pPr>
        <w:spacing w:line="360" w:lineRule="auto"/>
        <w:ind w:firstLine="470" w:firstLineChars="196"/>
        <w:rPr>
          <w:rFonts w:ascii="宋体" w:hAnsi="宋体"/>
          <w:color w:val="auto"/>
          <w:sz w:val="24"/>
          <w:highlight w:val="none"/>
        </w:rPr>
      </w:pPr>
      <w:r>
        <w:rPr>
          <w:rFonts w:hint="eastAsia" w:ascii="宋体" w:hAnsi="宋体"/>
          <w:color w:val="auto"/>
          <w:sz w:val="24"/>
          <w:highlight w:val="none"/>
        </w:rPr>
        <w:t>2.3 通过资格性审查的供应商不足3家的（本章2.3.1的情况除外），终止本次采购活动，并发布终止采购活动公告。</w:t>
      </w:r>
    </w:p>
    <w:p>
      <w:pPr>
        <w:spacing w:line="360" w:lineRule="auto"/>
        <w:ind w:firstLine="470" w:firstLineChars="196"/>
        <w:rPr>
          <w:rFonts w:ascii="宋体" w:hAnsi="宋体"/>
          <w:color w:val="auto"/>
          <w:sz w:val="24"/>
          <w:highlight w:val="none"/>
        </w:rPr>
      </w:pPr>
      <w:r>
        <w:rPr>
          <w:rFonts w:hint="eastAsia" w:ascii="宋体" w:hAnsi="宋体"/>
          <w:color w:val="auto"/>
          <w:sz w:val="24"/>
          <w:highlight w:val="none"/>
        </w:rPr>
        <w:t>2.3.1根据《财政部关于政府采购竞争性磋商采购方式管理暂行办法有关问题的补充通知》财库[2015]124号的要求：“磋商项目为政府购买服务项目（含政府和社会资本合作项目），在采购过程中符合要求的供应商（社会资本）只有2家的，竞争性磋商采购活动可以继续进行”。</w:t>
      </w:r>
    </w:p>
    <w:p>
      <w:pPr>
        <w:spacing w:line="360" w:lineRule="auto"/>
        <w:ind w:firstLine="470" w:firstLineChars="196"/>
        <w:rPr>
          <w:rFonts w:ascii="宋体" w:hAnsi="宋体"/>
          <w:color w:val="auto"/>
          <w:sz w:val="24"/>
          <w:highlight w:val="none"/>
        </w:rPr>
      </w:pPr>
      <w:r>
        <w:rPr>
          <w:rFonts w:hint="eastAsia" w:ascii="宋体" w:hAnsi="宋体"/>
          <w:color w:val="auto"/>
          <w:sz w:val="24"/>
          <w:highlight w:val="none"/>
        </w:rPr>
        <w:t>2.4磋商。</w:t>
      </w:r>
    </w:p>
    <w:p>
      <w:pPr>
        <w:spacing w:line="360" w:lineRule="auto"/>
        <w:ind w:firstLine="470" w:firstLineChars="196"/>
        <w:rPr>
          <w:rFonts w:ascii="宋体" w:hAnsi="宋体"/>
          <w:color w:val="auto"/>
          <w:sz w:val="24"/>
          <w:highlight w:val="none"/>
        </w:rPr>
      </w:pPr>
      <w:r>
        <w:rPr>
          <w:rFonts w:hint="eastAsia" w:ascii="宋体" w:hAnsi="宋体"/>
          <w:color w:val="auto"/>
          <w:sz w:val="24"/>
          <w:highlight w:val="none"/>
        </w:rPr>
        <w:t>2.4.1磋商小组所有成员集中与单一供应商分别进行一轮或多轮磋商，并给予所有参加磋商的供应商平等的磋商机会。磋商顺序以现场抽签的方式确定。磋商过程中，磋商小组可以根据磋商情况调整磋商轮次。</w:t>
      </w:r>
    </w:p>
    <w:p>
      <w:pPr>
        <w:spacing w:line="360" w:lineRule="auto"/>
        <w:ind w:firstLine="470" w:firstLineChars="196"/>
        <w:rPr>
          <w:rFonts w:ascii="宋体" w:hAnsi="宋体"/>
          <w:color w:val="auto"/>
          <w:sz w:val="24"/>
          <w:highlight w:val="none"/>
        </w:rPr>
      </w:pPr>
      <w:r>
        <w:rPr>
          <w:rFonts w:hint="eastAsia" w:ascii="宋体" w:hAnsi="宋体"/>
          <w:color w:val="auto"/>
          <w:sz w:val="24"/>
          <w:highlight w:val="none"/>
        </w:rPr>
        <w:t>2.4.2每轮磋商开始前，磋商小组应根据磋商文件的规定，并结合各供应商的响应文件拟定磋商内容。</w:t>
      </w:r>
    </w:p>
    <w:p>
      <w:pPr>
        <w:spacing w:line="360" w:lineRule="auto"/>
        <w:ind w:firstLine="470" w:firstLineChars="196"/>
        <w:rPr>
          <w:rFonts w:ascii="宋体" w:hAnsi="宋体"/>
          <w:color w:val="auto"/>
          <w:sz w:val="24"/>
          <w:highlight w:val="none"/>
        </w:rPr>
      </w:pPr>
      <w:r>
        <w:rPr>
          <w:rFonts w:hint="eastAsia" w:ascii="宋体" w:hAnsi="宋体"/>
          <w:color w:val="auto"/>
          <w:sz w:val="24"/>
          <w:highlight w:val="none"/>
        </w:rPr>
        <w:t>2.4.3在磋商过程中，磋商小组可以根据磋商文件和磋商情况实质性变动磋商文件的技术、服务要求以及合同草案条款，但不得变动磋商文件中的其他内容。实质性变动的内容，须经采购人代表书面确认。</w:t>
      </w:r>
    </w:p>
    <w:p>
      <w:pPr>
        <w:spacing w:line="360" w:lineRule="auto"/>
        <w:ind w:firstLine="470" w:firstLineChars="196"/>
        <w:rPr>
          <w:rFonts w:ascii="宋体" w:hAnsi="宋体"/>
          <w:color w:val="auto"/>
          <w:sz w:val="24"/>
          <w:highlight w:val="none"/>
        </w:rPr>
      </w:pPr>
      <w:r>
        <w:rPr>
          <w:rFonts w:hint="eastAsia" w:ascii="宋体" w:hAnsi="宋体"/>
          <w:color w:val="auto"/>
          <w:sz w:val="24"/>
          <w:highlight w:val="none"/>
        </w:rPr>
        <w:t>2.4.4对磋商文件作出的实质性变动是磋商文件的有效组成部分，磋商小组应当及时以书面形式同时通知所有参加磋商的供应商。</w:t>
      </w:r>
    </w:p>
    <w:p>
      <w:pPr>
        <w:spacing w:line="360" w:lineRule="auto"/>
        <w:ind w:firstLine="470" w:firstLineChars="196"/>
        <w:rPr>
          <w:rFonts w:ascii="宋体" w:hAnsi="宋体"/>
          <w:color w:val="auto"/>
          <w:sz w:val="24"/>
          <w:highlight w:val="none"/>
        </w:rPr>
      </w:pPr>
      <w:r>
        <w:rPr>
          <w:rFonts w:hint="eastAsia" w:ascii="宋体" w:hAnsi="宋体"/>
          <w:color w:val="auto"/>
          <w:sz w:val="24"/>
          <w:highlight w:val="none"/>
        </w:rPr>
        <w:t>2.4.5磋商过程中，磋商文件变动的，供应商应当按照磋商文件的变动情况和磋商小组的要求重新提交响应文件，并由其法定代表人/主要负责人/本人或其授权代表签字或者加盖公章。磋商过程中，供应商根据磋商情况自行决定变更其响应文件的，磋商小组不得拒绝，并应当给予供应商必要的时间，但是供应商变更其响应文件，应当以有利于满足磋商文件要求为原则，不得变更为不利于满足磋商文件规定，否则，其响应文件作为无效处理。</w:t>
      </w:r>
    </w:p>
    <w:p>
      <w:pPr>
        <w:spacing w:line="360" w:lineRule="auto"/>
        <w:ind w:firstLine="470" w:firstLineChars="196"/>
        <w:rPr>
          <w:rFonts w:ascii="宋体" w:hAnsi="宋体"/>
          <w:color w:val="auto"/>
          <w:sz w:val="24"/>
          <w:highlight w:val="none"/>
        </w:rPr>
      </w:pPr>
      <w:r>
        <w:rPr>
          <w:rFonts w:hint="eastAsia" w:ascii="宋体" w:hAnsi="宋体"/>
          <w:color w:val="auto"/>
          <w:sz w:val="24"/>
          <w:highlight w:val="none"/>
        </w:rPr>
        <w:t>2.4.6磋商过程中，磋商的任何一方不得透露与磋商有关的其他供应商的技术资料、价格和其他信息。</w:t>
      </w:r>
    </w:p>
    <w:p>
      <w:pPr>
        <w:spacing w:line="360" w:lineRule="auto"/>
        <w:ind w:firstLine="470" w:firstLineChars="196"/>
        <w:rPr>
          <w:rFonts w:ascii="宋体" w:hAnsi="宋体"/>
          <w:color w:val="auto"/>
          <w:sz w:val="24"/>
          <w:highlight w:val="none"/>
        </w:rPr>
      </w:pPr>
      <w:r>
        <w:rPr>
          <w:rFonts w:hint="eastAsia" w:ascii="宋体" w:hAnsi="宋体"/>
          <w:color w:val="auto"/>
          <w:sz w:val="24"/>
          <w:highlight w:val="none"/>
        </w:rPr>
        <w:t>2.4.7磋商过程中，磋商小组发现或者知晓供应商存在违法、违纪行为的，磋商小组应当将该供应商响应文件作无效处理，不允许其提交最后报价。</w:t>
      </w:r>
    </w:p>
    <w:p>
      <w:pPr>
        <w:spacing w:line="360" w:lineRule="auto"/>
        <w:ind w:firstLine="470" w:firstLineChars="196"/>
        <w:rPr>
          <w:rFonts w:ascii="宋体" w:hAnsi="宋体"/>
          <w:color w:val="auto"/>
          <w:sz w:val="24"/>
          <w:highlight w:val="none"/>
        </w:rPr>
      </w:pPr>
      <w:r>
        <w:rPr>
          <w:rFonts w:hint="eastAsia" w:ascii="宋体" w:hAnsi="宋体"/>
          <w:color w:val="auto"/>
          <w:sz w:val="24"/>
          <w:highlight w:val="none"/>
        </w:rPr>
        <w:t xml:space="preserve">2.4.8磋商完成后，磋商小组应出具磋商情况记录表，磋商情况记录表需包含磋商内容、磋商意见、实质性变动内容等。   </w:t>
      </w:r>
    </w:p>
    <w:p>
      <w:pPr>
        <w:spacing w:line="360" w:lineRule="auto"/>
        <w:ind w:firstLine="470" w:firstLineChars="196"/>
        <w:rPr>
          <w:rFonts w:ascii="宋体" w:hAnsi="宋体"/>
          <w:color w:val="auto"/>
          <w:sz w:val="24"/>
          <w:highlight w:val="none"/>
        </w:rPr>
      </w:pPr>
      <w:r>
        <w:rPr>
          <w:rFonts w:hint="eastAsia" w:ascii="宋体" w:hAnsi="宋体"/>
          <w:color w:val="auto"/>
          <w:sz w:val="24"/>
          <w:highlight w:val="none"/>
        </w:rPr>
        <w:t>2.5最后报价。</w:t>
      </w:r>
    </w:p>
    <w:p>
      <w:pPr>
        <w:spacing w:line="360" w:lineRule="auto"/>
        <w:ind w:firstLine="470" w:firstLineChars="196"/>
        <w:rPr>
          <w:rFonts w:ascii="宋体" w:hAnsi="宋体"/>
          <w:color w:val="auto"/>
          <w:sz w:val="24"/>
          <w:highlight w:val="none"/>
        </w:rPr>
      </w:pPr>
      <w:r>
        <w:rPr>
          <w:rFonts w:hint="eastAsia" w:ascii="宋体" w:hAnsi="宋体"/>
          <w:color w:val="auto"/>
          <w:sz w:val="24"/>
          <w:highlight w:val="none"/>
        </w:rPr>
        <w:t>2.5.1除首次响应文件中的报价以外，供应商报价采用现场报价（除现场报价以响应文件报价为准的情形之外，以现场报价为准），参与报价的供应商按磋商小组要求进行报价。报价超过竞争性磋商文件规定的政府采购预算（或最高限价）或者相关报价不符合采购文件其他的报价规定的，应按照无效响应文件处理。</w:t>
      </w:r>
    </w:p>
    <w:p>
      <w:pPr>
        <w:spacing w:line="360" w:lineRule="auto"/>
        <w:ind w:firstLine="470" w:firstLineChars="196"/>
        <w:rPr>
          <w:rFonts w:ascii="宋体" w:hAnsi="宋体"/>
          <w:color w:val="auto"/>
          <w:sz w:val="24"/>
          <w:highlight w:val="none"/>
        </w:rPr>
      </w:pPr>
      <w:r>
        <w:rPr>
          <w:rFonts w:hint="eastAsia" w:ascii="宋体" w:hAnsi="宋体"/>
          <w:color w:val="auto"/>
          <w:sz w:val="24"/>
          <w:highlight w:val="none"/>
        </w:rPr>
        <w:t>2.5.2磋商文件能够详细列明采购标的的技术、服务要求的，磋商结束后，磋商小组应当要求所有实质性响应的供应商在规定时间内提交最后报价，提交最后报价的供应商不得少于3家（本章2.3.1和2.5.3的情况除外）。或磋商文件不能详细列明采购标的的技术、服务要求，需经磋商由供应商提供最终设计方案或解决方案的，磋商结束后，磋商小组应当按照少数服从多数的原则投票推荐3家以上（本章2.3.1和2.5.3的情况除外）供应商的设计方案或者解决方案，并要求其在规定时间内提交最后报价。</w:t>
      </w:r>
    </w:p>
    <w:p>
      <w:pPr>
        <w:spacing w:line="360" w:lineRule="auto"/>
        <w:ind w:firstLine="470" w:firstLineChars="196"/>
        <w:rPr>
          <w:rFonts w:ascii="宋体" w:hAnsi="宋体"/>
          <w:color w:val="auto"/>
          <w:sz w:val="24"/>
          <w:highlight w:val="none"/>
        </w:rPr>
      </w:pPr>
      <w:r>
        <w:rPr>
          <w:rFonts w:hint="eastAsia" w:ascii="宋体" w:hAnsi="宋体"/>
          <w:color w:val="auto"/>
          <w:sz w:val="24"/>
          <w:highlight w:val="none"/>
        </w:rPr>
        <w:t>2.5.3符合</w:t>
      </w:r>
      <w:bookmarkStart w:id="170" w:name="_Toc30986"/>
      <w:r>
        <w:rPr>
          <w:rFonts w:hint="eastAsia" w:ascii="宋体" w:hAnsi="宋体"/>
          <w:color w:val="auto"/>
          <w:sz w:val="24"/>
          <w:highlight w:val="none"/>
        </w:rPr>
        <w:t>《政府采购竞争性磋商采购方式管理暂行办法财库》〔2014〕214号</w:t>
      </w:r>
      <w:bookmarkEnd w:id="170"/>
      <w:r>
        <w:rPr>
          <w:rFonts w:hint="eastAsia" w:ascii="宋体" w:hAnsi="宋体"/>
          <w:color w:val="auto"/>
          <w:sz w:val="24"/>
          <w:highlight w:val="none"/>
        </w:rPr>
        <w:t>第三条第四项情形的，提交最后报价的供应商可以为2家。</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2.5.4磋商结束后，磋商小组应当要求所有实质性响应的供应商在规定时间内提交最后报价。两轮（若有）以上报价的，供应商在未提高响应文件中承诺的产品及其服务质量的情况下，其最后报价不得高于对该项目之前的报价，否则，磋商小组应当对其响应文件按无效处理，不允许进入综合评分，并书面告知供应商，说明理由。磋商小组认为供应商最后报价明显低于成本价，在磋商小组发出质询函后供应商未能提供合理的成本分析和价格构成的或对质函询的解释未被磋商小组采信的，应按照无效响应文件处理。</w:t>
      </w:r>
    </w:p>
    <w:p>
      <w:pPr>
        <w:spacing w:line="360" w:lineRule="auto"/>
        <w:ind w:firstLine="470" w:firstLineChars="196"/>
        <w:rPr>
          <w:rFonts w:ascii="宋体" w:hAnsi="宋体"/>
          <w:color w:val="auto"/>
          <w:sz w:val="24"/>
          <w:highlight w:val="none"/>
        </w:rPr>
      </w:pPr>
      <w:r>
        <w:rPr>
          <w:rFonts w:hint="eastAsia" w:ascii="宋体" w:hAnsi="宋体"/>
          <w:color w:val="auto"/>
          <w:sz w:val="24"/>
          <w:highlight w:val="none"/>
        </w:rPr>
        <w:t>2.5.5供应商最后报价应当由法定代表人/主要负责人/本人或其授权代表签字确认（注：供应商为法人的，应当由其法定代表人或者授权代表签字确认；供应商为其他组织的，应当由其主要负责人或者授权代表签字确认；供应商为自然人的，应当由其本人或者授权代表签字确认）或加盖公章。最后报价是供应商响应文件的有效组成部分。</w:t>
      </w:r>
    </w:p>
    <w:p>
      <w:pPr>
        <w:spacing w:line="360" w:lineRule="auto"/>
        <w:ind w:firstLine="470" w:firstLineChars="196"/>
        <w:rPr>
          <w:rFonts w:ascii="宋体" w:hAnsi="宋体"/>
          <w:color w:val="auto"/>
          <w:sz w:val="24"/>
          <w:highlight w:val="none"/>
        </w:rPr>
      </w:pPr>
      <w:r>
        <w:rPr>
          <w:rFonts w:hint="eastAsia" w:ascii="宋体" w:hAnsi="宋体"/>
          <w:color w:val="auto"/>
          <w:sz w:val="24"/>
          <w:highlight w:val="none"/>
        </w:rPr>
        <w:t>2.5.6报价如果出现下列不一致的，可按以下原则进行修改：</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（1）大写金额和小写金额不一致的，以大写金额为准，但大写金额文字存在错误的，应当先对大写金额的文字错误进行澄清、说明或者更正，再行修正。</w:t>
      </w:r>
    </w:p>
    <w:p>
      <w:pPr>
        <w:spacing w:line="360" w:lineRule="auto"/>
        <w:ind w:firstLine="470" w:firstLineChars="196"/>
        <w:rPr>
          <w:rFonts w:ascii="宋体" w:hAnsi="宋体"/>
          <w:color w:val="auto"/>
          <w:sz w:val="24"/>
          <w:highlight w:val="none"/>
        </w:rPr>
      </w:pPr>
      <w:r>
        <w:rPr>
          <w:rFonts w:hint="eastAsia" w:ascii="宋体" w:hAnsi="宋体"/>
          <w:color w:val="auto"/>
          <w:sz w:val="24"/>
          <w:highlight w:val="none"/>
        </w:rPr>
        <w:t>（2）总价金额与按单价汇总金额不一致的，以单价金额计算结果为准，但单价或者单价汇总金额存在数字或者文字错误的，应当先对数字或者文字错误进行澄清、说明或者更正，再行修正。</w:t>
      </w:r>
    </w:p>
    <w:p>
      <w:pPr>
        <w:spacing w:line="360" w:lineRule="auto"/>
        <w:ind w:firstLine="470" w:firstLineChars="196"/>
        <w:rPr>
          <w:rFonts w:ascii="宋体" w:hAnsi="宋体"/>
          <w:color w:val="auto"/>
          <w:sz w:val="24"/>
          <w:highlight w:val="none"/>
        </w:rPr>
      </w:pPr>
      <w:r>
        <w:rPr>
          <w:rFonts w:hint="eastAsia" w:ascii="宋体" w:hAnsi="宋体"/>
          <w:color w:val="auto"/>
          <w:sz w:val="24"/>
          <w:highlight w:val="none"/>
        </w:rPr>
        <w:t>（3）单价金额小数点或者百分比有明显错位的，以总价为准，修正单价。</w:t>
      </w:r>
    </w:p>
    <w:p>
      <w:pPr>
        <w:spacing w:line="360" w:lineRule="auto"/>
        <w:ind w:firstLine="470" w:firstLineChars="196"/>
        <w:rPr>
          <w:rFonts w:ascii="宋体" w:hAnsi="宋体"/>
          <w:color w:val="auto"/>
          <w:sz w:val="24"/>
          <w:highlight w:val="none"/>
        </w:rPr>
      </w:pPr>
      <w:r>
        <w:rPr>
          <w:rFonts w:hint="eastAsia" w:ascii="宋体" w:hAnsi="宋体"/>
          <w:color w:val="auto"/>
          <w:sz w:val="24"/>
          <w:highlight w:val="none"/>
        </w:rPr>
        <w:t>同时出现两种以上不一致的，按照上述规定的顺序修正。修正后的报价经供应商确认后产生约束力，供应商不确认的，其响应文件作为无效处理。供应商确认采取书面且加盖单位公章或者供应商授权代表签字的方式。</w:t>
      </w:r>
    </w:p>
    <w:p>
      <w:pPr>
        <w:spacing w:line="360" w:lineRule="auto"/>
        <w:ind w:firstLine="470" w:firstLineChars="196"/>
        <w:rPr>
          <w:rFonts w:ascii="宋体" w:hAnsi="宋体"/>
          <w:color w:val="auto"/>
          <w:sz w:val="24"/>
          <w:highlight w:val="none"/>
        </w:rPr>
      </w:pPr>
      <w:r>
        <w:rPr>
          <w:rFonts w:hint="eastAsia" w:ascii="宋体" w:hAnsi="宋体"/>
          <w:color w:val="auto"/>
          <w:sz w:val="24"/>
          <w:highlight w:val="none"/>
        </w:rPr>
        <w:t>不得未经澄清、说明或者更正，直接将供应商响应文件作为无效处理。对不同文字文本响应文件的解释发生异议的，以中文文本为准。</w:t>
      </w:r>
    </w:p>
    <w:p>
      <w:pPr>
        <w:spacing w:line="360" w:lineRule="auto"/>
        <w:ind w:firstLine="470" w:firstLineChars="196"/>
        <w:rPr>
          <w:rFonts w:ascii="宋体" w:hAnsi="宋体"/>
          <w:color w:val="auto"/>
          <w:sz w:val="24"/>
          <w:highlight w:val="none"/>
        </w:rPr>
      </w:pPr>
      <w:r>
        <w:rPr>
          <w:rFonts w:hint="eastAsia" w:ascii="宋体" w:hAnsi="宋体"/>
          <w:color w:val="auto"/>
          <w:sz w:val="24"/>
          <w:highlight w:val="none"/>
        </w:rPr>
        <w:t>2.6比较与评价。由磋商小组采用综合评分法对提交最后报价的供应商的响应文件和最后报价进行综合评分，具体要求详见本章综合评分部分。</w:t>
      </w:r>
    </w:p>
    <w:p>
      <w:pPr>
        <w:spacing w:line="360" w:lineRule="auto"/>
        <w:ind w:firstLine="470" w:firstLineChars="196"/>
        <w:rPr>
          <w:rFonts w:ascii="宋体" w:hAnsi="宋体" w:cs="宋体"/>
          <w:color w:val="auto"/>
          <w:sz w:val="24"/>
          <w:highlight w:val="none"/>
        </w:rPr>
      </w:pPr>
      <w:r>
        <w:rPr>
          <w:rFonts w:hint="eastAsia" w:ascii="宋体" w:hAnsi="宋体" w:cs="宋体"/>
          <w:color w:val="auto"/>
          <w:sz w:val="24"/>
          <w:highlight w:val="none"/>
        </w:rPr>
        <w:t>2.7推荐成交候选供应商。磋商小组应当根据综合评分情况，按照评审得分由高到低顺序推荐3家以上（本章2.3.1和2.5.3的情况除外）成交候选供应商，并编写磋商报告。评审得分相同的，按照最后报价由低到高的顺序推荐。评审得分且最后报价相同的，按照技术指标优劣顺序推荐。评审得分且最后报价且技术指标分项得分均相同的，不发达地区或少数民族地区的供应商推荐顺序在非不发达地区或少数民族地区的供应商之前；评审得分且最后报价且技术指标分项得分均相同的，且均为不发达地区或少数民族地区的供应商并列；评审得分且最后报价且技术指标分项得分均相同的，且不能判定为不发达地区或少数民族地区的供应商并列。（不发达地区或少数民族地区的供应商需提供属于不发达地区或少数民族地区企业的相关证明材料）</w:t>
      </w:r>
    </w:p>
    <w:p>
      <w:pPr>
        <w:spacing w:line="360" w:lineRule="auto"/>
        <w:ind w:firstLine="470" w:firstLineChars="196"/>
        <w:rPr>
          <w:rFonts w:ascii="宋体" w:hAnsi="宋体"/>
          <w:color w:val="auto"/>
          <w:sz w:val="24"/>
          <w:highlight w:val="none"/>
        </w:rPr>
      </w:pPr>
      <w:r>
        <w:rPr>
          <w:rFonts w:hint="eastAsia" w:ascii="宋体" w:hAnsi="宋体"/>
          <w:color w:val="auto"/>
          <w:sz w:val="24"/>
          <w:highlight w:val="none"/>
        </w:rPr>
        <w:t>2.8磋商小组复核。磋商小组评分汇总结束后，磋商小组应当进行评审复核，对拟推荐为成交候选供应商的、报价最低的、供应商资格审查未通过的、供应商响应文件作无效处理的重点复核。</w:t>
      </w:r>
    </w:p>
    <w:p>
      <w:pPr>
        <w:spacing w:line="360" w:lineRule="auto"/>
        <w:ind w:firstLine="470" w:firstLineChars="196"/>
        <w:rPr>
          <w:rFonts w:ascii="宋体" w:hAnsi="宋体"/>
          <w:color w:val="auto"/>
          <w:sz w:val="24"/>
          <w:highlight w:val="none"/>
        </w:rPr>
      </w:pPr>
      <w:r>
        <w:rPr>
          <w:rFonts w:hint="eastAsia" w:ascii="宋体" w:hAnsi="宋体"/>
          <w:color w:val="auto"/>
          <w:sz w:val="24"/>
          <w:highlight w:val="none"/>
        </w:rPr>
        <w:t>2.9采购组织单位现场复核评审结果。</w:t>
      </w:r>
    </w:p>
    <w:p>
      <w:pPr>
        <w:spacing w:line="360" w:lineRule="auto"/>
        <w:ind w:firstLine="470" w:firstLineChars="196"/>
        <w:rPr>
          <w:rFonts w:ascii="宋体" w:hAnsi="宋体"/>
          <w:color w:val="auto"/>
          <w:sz w:val="24"/>
          <w:highlight w:val="none"/>
        </w:rPr>
      </w:pPr>
      <w:r>
        <w:rPr>
          <w:rFonts w:hint="eastAsia" w:ascii="宋体" w:hAnsi="宋体"/>
          <w:color w:val="auto"/>
          <w:sz w:val="24"/>
          <w:highlight w:val="none"/>
        </w:rPr>
        <w:t>2.9.1评审结果汇总完成后，磋商小组拟出具磋商评审报告前，采购人/采购代理机构应当组织2名以上的本单位工作人员，在采购现场监督人员的监督之下，依据有关的法律制度和磋商文件对评审结果进行复核，出具复核报告，存在下列情形之一的，采购人/采购代理机构应当根据情况书面建议磋商小组现场修改评审结果：</w:t>
      </w:r>
    </w:p>
    <w:p>
      <w:pPr>
        <w:spacing w:line="360" w:lineRule="auto"/>
        <w:ind w:firstLine="470" w:firstLineChars="196"/>
        <w:rPr>
          <w:rFonts w:ascii="宋体" w:hAnsi="宋体"/>
          <w:color w:val="auto"/>
          <w:sz w:val="24"/>
          <w:highlight w:val="none"/>
        </w:rPr>
      </w:pPr>
      <w:r>
        <w:rPr>
          <w:rFonts w:hint="eastAsia" w:ascii="宋体" w:hAnsi="宋体"/>
          <w:color w:val="auto"/>
          <w:sz w:val="24"/>
          <w:highlight w:val="none"/>
        </w:rPr>
        <w:t>（1）资格性审查认定错误的；</w:t>
      </w:r>
    </w:p>
    <w:p>
      <w:pPr>
        <w:spacing w:line="360" w:lineRule="auto"/>
        <w:ind w:firstLine="470" w:firstLineChars="196"/>
        <w:rPr>
          <w:rFonts w:ascii="宋体" w:hAnsi="宋体"/>
          <w:color w:val="auto"/>
          <w:sz w:val="24"/>
          <w:highlight w:val="none"/>
        </w:rPr>
      </w:pPr>
      <w:r>
        <w:rPr>
          <w:rFonts w:hint="eastAsia" w:ascii="宋体" w:hAnsi="宋体"/>
          <w:color w:val="auto"/>
          <w:sz w:val="24"/>
          <w:highlight w:val="none"/>
        </w:rPr>
        <w:t>（2）分值汇总计算错误的；</w:t>
      </w:r>
    </w:p>
    <w:p>
      <w:pPr>
        <w:spacing w:line="360" w:lineRule="auto"/>
        <w:ind w:firstLine="470" w:firstLineChars="196"/>
        <w:rPr>
          <w:rFonts w:ascii="宋体" w:hAnsi="宋体"/>
          <w:color w:val="auto"/>
          <w:sz w:val="24"/>
          <w:highlight w:val="none"/>
        </w:rPr>
      </w:pPr>
      <w:r>
        <w:rPr>
          <w:rFonts w:hint="eastAsia" w:ascii="宋体" w:hAnsi="宋体"/>
          <w:color w:val="auto"/>
          <w:sz w:val="24"/>
          <w:highlight w:val="none"/>
        </w:rPr>
        <w:t>（3）分项评分超出评分标准范围的；</w:t>
      </w:r>
    </w:p>
    <w:p>
      <w:pPr>
        <w:spacing w:line="360" w:lineRule="auto"/>
        <w:ind w:firstLine="470" w:firstLineChars="196"/>
        <w:rPr>
          <w:rFonts w:ascii="宋体" w:hAnsi="宋体"/>
          <w:color w:val="auto"/>
          <w:sz w:val="24"/>
          <w:highlight w:val="none"/>
        </w:rPr>
      </w:pPr>
      <w:r>
        <w:rPr>
          <w:rFonts w:hint="eastAsia" w:ascii="宋体" w:hAnsi="宋体"/>
          <w:color w:val="auto"/>
          <w:sz w:val="24"/>
          <w:highlight w:val="none"/>
        </w:rPr>
        <w:t>（4）客观评分不一致的。</w:t>
      </w:r>
    </w:p>
    <w:p>
      <w:pPr>
        <w:spacing w:line="360" w:lineRule="auto"/>
        <w:ind w:firstLine="470" w:firstLineChars="196"/>
        <w:rPr>
          <w:rFonts w:ascii="宋体" w:hAnsi="宋体"/>
          <w:color w:val="auto"/>
          <w:sz w:val="24"/>
          <w:highlight w:val="none"/>
        </w:rPr>
      </w:pPr>
      <w:r>
        <w:rPr>
          <w:rFonts w:hint="eastAsia" w:ascii="宋体" w:hAnsi="宋体"/>
          <w:color w:val="auto"/>
          <w:sz w:val="24"/>
          <w:highlight w:val="none"/>
        </w:rPr>
        <w:t>存在本条上述情形的，由磋商小组自主决定是否采纳采购人/采购代理机构的书面建议，并承担独立评审责任。磋商小组采纳采购人/采购代理机构书面建议的，应当按照规定现场修改评审结果或者重新评审，并在磋商报告中详细记载有关事宜；不采纳采购人/采购代理机构书面建议的，应当书面说明理由。采购人/采购代理机构书面建议未被磋商小组采纳的，应当接照规定程序要求继续组织实施采购活动，不得擅自中止采购活动。采购人/采购代理机构认为磋商小组评审结果不合法的，应当书面报告采购项目同级财政部门。</w:t>
      </w:r>
    </w:p>
    <w:p>
      <w:pPr>
        <w:spacing w:line="360" w:lineRule="auto"/>
        <w:ind w:firstLine="470" w:firstLineChars="196"/>
        <w:rPr>
          <w:rFonts w:ascii="宋体" w:hAnsi="宋体"/>
          <w:color w:val="auto"/>
          <w:sz w:val="24"/>
          <w:highlight w:val="none"/>
        </w:rPr>
      </w:pPr>
      <w:r>
        <w:rPr>
          <w:rFonts w:hint="eastAsia" w:ascii="宋体" w:hAnsi="宋体"/>
          <w:color w:val="auto"/>
          <w:sz w:val="24"/>
          <w:highlight w:val="none"/>
        </w:rPr>
        <w:t>采购人/采购代理机构复核过程中，磋商小组成员不得离开评审现场。</w:t>
      </w:r>
    </w:p>
    <w:p>
      <w:pPr>
        <w:spacing w:line="360" w:lineRule="auto"/>
        <w:ind w:firstLine="470" w:firstLineChars="196"/>
        <w:rPr>
          <w:rFonts w:ascii="宋体" w:hAnsi="宋体"/>
          <w:color w:val="auto"/>
          <w:sz w:val="24"/>
          <w:highlight w:val="none"/>
        </w:rPr>
      </w:pPr>
      <w:r>
        <w:rPr>
          <w:rFonts w:hint="eastAsia" w:ascii="宋体" w:hAnsi="宋体"/>
          <w:color w:val="auto"/>
          <w:sz w:val="24"/>
          <w:highlight w:val="none"/>
        </w:rPr>
        <w:t>2.9.2有下列情形之一的，不得现场修改评审结果：</w:t>
      </w:r>
    </w:p>
    <w:p>
      <w:pPr>
        <w:spacing w:line="360" w:lineRule="auto"/>
        <w:ind w:firstLine="470" w:firstLineChars="196"/>
        <w:rPr>
          <w:rFonts w:ascii="宋体" w:hAnsi="宋体"/>
          <w:color w:val="auto"/>
          <w:sz w:val="24"/>
          <w:highlight w:val="none"/>
        </w:rPr>
      </w:pPr>
      <w:r>
        <w:rPr>
          <w:rFonts w:hint="eastAsia" w:ascii="宋体" w:hAnsi="宋体"/>
          <w:color w:val="auto"/>
          <w:sz w:val="24"/>
          <w:highlight w:val="none"/>
        </w:rPr>
        <w:t>（1）磋商小组已经出具磋商报告并且离开评审现场的；</w:t>
      </w:r>
    </w:p>
    <w:p>
      <w:pPr>
        <w:spacing w:line="360" w:lineRule="auto"/>
        <w:ind w:firstLine="470" w:firstLineChars="196"/>
        <w:rPr>
          <w:rFonts w:ascii="宋体" w:hAnsi="宋体"/>
          <w:color w:val="auto"/>
          <w:sz w:val="24"/>
          <w:highlight w:val="none"/>
        </w:rPr>
      </w:pPr>
      <w:r>
        <w:rPr>
          <w:rFonts w:hint="eastAsia" w:ascii="宋体" w:hAnsi="宋体"/>
          <w:color w:val="auto"/>
          <w:sz w:val="24"/>
          <w:highlight w:val="none"/>
        </w:rPr>
        <w:t>（2）采购人/采购代理机构现场复核时，复核工作人员数量不足的；</w:t>
      </w:r>
    </w:p>
    <w:p>
      <w:pPr>
        <w:spacing w:line="360" w:lineRule="auto"/>
        <w:ind w:firstLine="470" w:firstLineChars="196"/>
        <w:rPr>
          <w:rFonts w:ascii="宋体" w:hAnsi="宋体"/>
          <w:color w:val="auto"/>
          <w:sz w:val="24"/>
          <w:highlight w:val="none"/>
        </w:rPr>
      </w:pPr>
      <w:r>
        <w:rPr>
          <w:rFonts w:hint="eastAsia" w:ascii="宋体" w:hAnsi="宋体"/>
          <w:color w:val="auto"/>
          <w:sz w:val="24"/>
          <w:highlight w:val="none"/>
        </w:rPr>
        <w:t>（3）采购人/采购代理机构现场复核时，没有采购监督人员现场监督的；</w:t>
      </w:r>
    </w:p>
    <w:p>
      <w:pPr>
        <w:spacing w:line="360" w:lineRule="auto"/>
        <w:ind w:firstLine="470" w:firstLineChars="196"/>
        <w:rPr>
          <w:rFonts w:ascii="宋体" w:hAnsi="宋体"/>
          <w:color w:val="auto"/>
          <w:sz w:val="24"/>
          <w:highlight w:val="none"/>
        </w:rPr>
      </w:pPr>
      <w:r>
        <w:rPr>
          <w:rFonts w:hint="eastAsia" w:ascii="宋体" w:hAnsi="宋体"/>
          <w:color w:val="auto"/>
          <w:sz w:val="24"/>
          <w:highlight w:val="none"/>
        </w:rPr>
        <w:t>（4）采购人/采购代理机构现场复核内容超出规定范围的；</w:t>
      </w:r>
    </w:p>
    <w:p>
      <w:pPr>
        <w:spacing w:line="360" w:lineRule="auto"/>
        <w:ind w:firstLine="470" w:firstLineChars="196"/>
        <w:rPr>
          <w:rFonts w:ascii="宋体" w:hAnsi="宋体"/>
          <w:color w:val="auto"/>
          <w:sz w:val="24"/>
          <w:highlight w:val="none"/>
        </w:rPr>
      </w:pPr>
      <w:r>
        <w:rPr>
          <w:rFonts w:hint="eastAsia" w:ascii="宋体" w:hAnsi="宋体"/>
          <w:color w:val="auto"/>
          <w:sz w:val="24"/>
          <w:highlight w:val="none"/>
        </w:rPr>
        <w:t>（5）采购人/采购代理机构未提供书面建议的。</w:t>
      </w:r>
    </w:p>
    <w:p>
      <w:pPr>
        <w:spacing w:line="360" w:lineRule="auto"/>
        <w:ind w:firstLine="470" w:firstLineChars="196"/>
        <w:rPr>
          <w:rFonts w:ascii="宋体" w:hAnsi="宋体"/>
          <w:color w:val="auto"/>
          <w:sz w:val="24"/>
          <w:highlight w:val="none"/>
        </w:rPr>
      </w:pPr>
      <w:r>
        <w:rPr>
          <w:rFonts w:hint="eastAsia" w:ascii="宋体" w:hAnsi="宋体"/>
          <w:color w:val="auto"/>
          <w:sz w:val="24"/>
          <w:highlight w:val="none"/>
        </w:rPr>
        <w:t>2.10编写磋商报告。磋商小组推荐成交候选供应商后，应向采购人/采购代理机构出具磋商报告。磋商报告应当包括以下主要内容：</w:t>
      </w:r>
    </w:p>
    <w:p>
      <w:pPr>
        <w:spacing w:line="360" w:lineRule="auto"/>
        <w:ind w:firstLine="470" w:firstLineChars="196"/>
        <w:rPr>
          <w:rFonts w:ascii="宋体" w:hAnsi="宋体"/>
          <w:color w:val="auto"/>
          <w:sz w:val="24"/>
          <w:highlight w:val="none"/>
        </w:rPr>
      </w:pPr>
      <w:r>
        <w:rPr>
          <w:rFonts w:hint="eastAsia" w:ascii="宋体" w:hAnsi="宋体"/>
          <w:color w:val="auto"/>
          <w:sz w:val="24"/>
          <w:highlight w:val="none"/>
        </w:rPr>
        <w:t>（1）邀请供应商参加采购活动的具体方式和相关情况；</w:t>
      </w:r>
    </w:p>
    <w:p>
      <w:pPr>
        <w:spacing w:line="360" w:lineRule="auto"/>
        <w:ind w:firstLine="470" w:firstLineChars="196"/>
        <w:rPr>
          <w:rFonts w:ascii="宋体" w:hAnsi="宋体"/>
          <w:color w:val="auto"/>
          <w:sz w:val="24"/>
          <w:highlight w:val="none"/>
        </w:rPr>
      </w:pPr>
      <w:r>
        <w:rPr>
          <w:rFonts w:hint="eastAsia" w:ascii="宋体" w:hAnsi="宋体"/>
          <w:color w:val="auto"/>
          <w:sz w:val="24"/>
          <w:highlight w:val="none"/>
        </w:rPr>
        <w:t>（2）响应文件开启日期和地点；</w:t>
      </w:r>
    </w:p>
    <w:p>
      <w:pPr>
        <w:spacing w:line="360" w:lineRule="auto"/>
        <w:ind w:firstLine="470" w:firstLineChars="196"/>
        <w:rPr>
          <w:rFonts w:ascii="宋体" w:hAnsi="宋体"/>
          <w:color w:val="auto"/>
          <w:sz w:val="24"/>
          <w:highlight w:val="none"/>
        </w:rPr>
      </w:pPr>
      <w:r>
        <w:rPr>
          <w:rFonts w:hint="eastAsia" w:ascii="宋体" w:hAnsi="宋体"/>
          <w:color w:val="auto"/>
          <w:sz w:val="24"/>
          <w:highlight w:val="none"/>
        </w:rPr>
        <w:t>（3）获取磋商文件的供应商名单和磋商小组成员名单；</w:t>
      </w:r>
    </w:p>
    <w:p>
      <w:pPr>
        <w:spacing w:line="360" w:lineRule="auto"/>
        <w:ind w:firstLine="470" w:firstLineChars="196"/>
        <w:rPr>
          <w:rFonts w:ascii="宋体" w:hAnsi="宋体"/>
          <w:color w:val="auto"/>
          <w:sz w:val="24"/>
          <w:highlight w:val="none"/>
        </w:rPr>
      </w:pPr>
      <w:r>
        <w:rPr>
          <w:rFonts w:hint="eastAsia" w:ascii="宋体" w:hAnsi="宋体"/>
          <w:color w:val="auto"/>
          <w:sz w:val="24"/>
          <w:highlight w:val="none"/>
        </w:rPr>
        <w:t>（4）评审情况记录和说明，包括对供应商的资格审查情况、供应商响应文件审查情况、磋商情况、报价情况等；</w:t>
      </w:r>
    </w:p>
    <w:p>
      <w:pPr>
        <w:spacing w:line="360" w:lineRule="auto"/>
        <w:ind w:firstLine="470" w:firstLineChars="196"/>
        <w:rPr>
          <w:rFonts w:ascii="宋体" w:hAnsi="宋体"/>
          <w:color w:val="auto"/>
          <w:sz w:val="24"/>
          <w:highlight w:val="none"/>
        </w:rPr>
      </w:pPr>
      <w:r>
        <w:rPr>
          <w:rFonts w:hint="eastAsia" w:ascii="宋体" w:hAnsi="宋体"/>
          <w:color w:val="auto"/>
          <w:sz w:val="24"/>
          <w:highlight w:val="none"/>
        </w:rPr>
        <w:t>（5）提出的成交候选供应商的排序名单及理由。</w:t>
      </w:r>
    </w:p>
    <w:p>
      <w:pPr>
        <w:spacing w:line="360" w:lineRule="auto"/>
        <w:ind w:firstLine="470" w:firstLineChars="196"/>
        <w:rPr>
          <w:rFonts w:ascii="宋体" w:hAnsi="宋体"/>
          <w:color w:val="auto"/>
          <w:sz w:val="24"/>
          <w:highlight w:val="none"/>
        </w:rPr>
      </w:pPr>
      <w:r>
        <w:rPr>
          <w:rFonts w:hint="eastAsia" w:ascii="宋体" w:hAnsi="宋体"/>
          <w:color w:val="auto"/>
          <w:sz w:val="24"/>
          <w:highlight w:val="none"/>
        </w:rPr>
        <w:t>磋商报告应当由磋商小组全体人员签字认可。磋商小组成员对磋商报告有异议的，磋商小组按照少数服从多数的原则推荐成交候选供应商，采购程序继续进行。对磋商报告有异议的磋商小组成员，应当在报告上签署不同意见并说明理由，由磋商小组书面记录相关情况。磋商小组成员拒绝在报告上签字又不书面说明其不同意见和理由的，视为同意磋商报告。</w:t>
      </w:r>
    </w:p>
    <w:p>
      <w:pPr>
        <w:spacing w:line="360" w:lineRule="auto"/>
        <w:ind w:firstLine="470" w:firstLineChars="196"/>
        <w:rPr>
          <w:rFonts w:ascii="宋体" w:hAnsi="宋体"/>
          <w:color w:val="auto"/>
          <w:sz w:val="24"/>
          <w:highlight w:val="none"/>
        </w:rPr>
      </w:pPr>
      <w:r>
        <w:rPr>
          <w:rFonts w:hint="eastAsia" w:ascii="宋体" w:hAnsi="宋体"/>
          <w:color w:val="auto"/>
          <w:sz w:val="24"/>
          <w:highlight w:val="none"/>
        </w:rPr>
        <w:t>2.11磋商异议处理规则。在磋商过程中，磋商小组成员对响应文件是否符合磋商文件规定存在争议的，应当以少数服从多数的原则处理，但不违背磋商文件规定。有不同意见的磋商小组成员认为认定过程和结果不符合法律法规或者磋商文件规定的，应当在磋商报告中予以反映。</w:t>
      </w:r>
    </w:p>
    <w:p>
      <w:pPr>
        <w:spacing w:line="360" w:lineRule="auto"/>
        <w:ind w:firstLine="470" w:firstLineChars="196"/>
        <w:rPr>
          <w:rFonts w:ascii="宋体" w:hAnsi="宋体"/>
          <w:color w:val="auto"/>
          <w:sz w:val="24"/>
          <w:highlight w:val="none"/>
        </w:rPr>
      </w:pPr>
      <w:r>
        <w:rPr>
          <w:rFonts w:hint="eastAsia" w:ascii="宋体" w:hAnsi="宋体"/>
          <w:color w:val="auto"/>
          <w:sz w:val="24"/>
          <w:highlight w:val="none"/>
        </w:rPr>
        <w:t>2.12供应商澄清、说明</w:t>
      </w:r>
    </w:p>
    <w:p>
      <w:pPr>
        <w:spacing w:line="360" w:lineRule="auto"/>
        <w:ind w:firstLine="470" w:firstLineChars="196"/>
        <w:rPr>
          <w:rFonts w:ascii="宋体" w:hAnsi="宋体"/>
          <w:color w:val="auto"/>
          <w:sz w:val="24"/>
          <w:highlight w:val="none"/>
        </w:rPr>
      </w:pPr>
      <w:r>
        <w:rPr>
          <w:rFonts w:hint="eastAsia" w:ascii="宋体" w:hAnsi="宋体"/>
          <w:color w:val="auto"/>
          <w:sz w:val="24"/>
          <w:highlight w:val="none"/>
        </w:rPr>
        <w:t>2.12.1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360" w:lineRule="auto"/>
        <w:ind w:firstLine="470" w:firstLineChars="196"/>
        <w:rPr>
          <w:rFonts w:ascii="宋体" w:hAnsi="宋体"/>
          <w:color w:val="auto"/>
          <w:sz w:val="24"/>
          <w:highlight w:val="none"/>
        </w:rPr>
      </w:pPr>
      <w:r>
        <w:rPr>
          <w:rFonts w:hint="eastAsia" w:ascii="宋体" w:hAnsi="宋体"/>
          <w:color w:val="auto"/>
          <w:sz w:val="24"/>
          <w:highlight w:val="none"/>
        </w:rPr>
        <w:t>2.12.2磋商小组要求供应商澄清、说明或者更正响应文件应当以书面形式作出。供应商的澄清、说明或者更正应当由法定代表人/主要负责人/本人或其授权代表签字或者加盖公章。</w:t>
      </w:r>
    </w:p>
    <w:p>
      <w:pPr>
        <w:spacing w:line="360" w:lineRule="auto"/>
        <w:ind w:firstLine="470" w:firstLineChars="196"/>
        <w:rPr>
          <w:rFonts w:ascii="宋体" w:hAnsi="宋体"/>
          <w:color w:val="auto"/>
          <w:sz w:val="24"/>
          <w:highlight w:val="none"/>
        </w:rPr>
      </w:pPr>
      <w:r>
        <w:rPr>
          <w:rFonts w:hint="eastAsia" w:ascii="宋体" w:hAnsi="宋体"/>
          <w:color w:val="auto"/>
          <w:sz w:val="24"/>
          <w:highlight w:val="none"/>
        </w:rPr>
        <w:t>2.13终止磋商采购活动。</w:t>
      </w:r>
    </w:p>
    <w:p>
      <w:pPr>
        <w:spacing w:line="360" w:lineRule="auto"/>
        <w:ind w:firstLine="470" w:firstLineChars="196"/>
        <w:rPr>
          <w:rFonts w:ascii="宋体" w:hAnsi="宋体"/>
          <w:color w:val="auto"/>
          <w:sz w:val="24"/>
          <w:highlight w:val="none"/>
        </w:rPr>
      </w:pPr>
      <w:r>
        <w:rPr>
          <w:rFonts w:hint="eastAsia" w:ascii="宋体" w:hAnsi="宋体"/>
          <w:color w:val="auto"/>
          <w:sz w:val="24"/>
          <w:highlight w:val="none"/>
        </w:rPr>
        <w:t>出现下列情形之一的，采购人或者采购代理机构应当终止竞争性磋商采购活动，发布项目终止公告并说明原因，重新开展采购活动：</w:t>
      </w:r>
    </w:p>
    <w:p>
      <w:pPr>
        <w:spacing w:line="360" w:lineRule="auto"/>
        <w:ind w:firstLine="470" w:firstLineChars="196"/>
        <w:rPr>
          <w:rFonts w:ascii="宋体" w:hAnsi="宋体"/>
          <w:color w:val="auto"/>
          <w:sz w:val="24"/>
          <w:highlight w:val="none"/>
        </w:rPr>
      </w:pPr>
      <w:r>
        <w:rPr>
          <w:rFonts w:hint="eastAsia" w:ascii="宋体" w:hAnsi="宋体"/>
          <w:color w:val="auto"/>
          <w:sz w:val="24"/>
          <w:highlight w:val="none"/>
        </w:rPr>
        <w:t>（1）因情况变化，不再符合规定的竞争性磋商采购方式适用情形的；</w:t>
      </w:r>
    </w:p>
    <w:p>
      <w:pPr>
        <w:spacing w:line="360" w:lineRule="auto"/>
        <w:ind w:firstLine="470" w:firstLineChars="196"/>
        <w:rPr>
          <w:rFonts w:ascii="宋体" w:hAnsi="宋体"/>
          <w:color w:val="auto"/>
          <w:sz w:val="24"/>
          <w:highlight w:val="none"/>
        </w:rPr>
      </w:pPr>
      <w:r>
        <w:rPr>
          <w:rFonts w:hint="eastAsia" w:ascii="宋体" w:hAnsi="宋体"/>
          <w:color w:val="auto"/>
          <w:sz w:val="24"/>
          <w:highlight w:val="none"/>
        </w:rPr>
        <w:t>（2）出现影响采购公正的违法、违规行为的；</w:t>
      </w:r>
    </w:p>
    <w:p>
      <w:pPr>
        <w:spacing w:line="360" w:lineRule="auto"/>
        <w:ind w:firstLine="470" w:firstLineChars="196"/>
        <w:rPr>
          <w:rFonts w:ascii="宋体" w:hAnsi="宋体"/>
          <w:color w:val="auto"/>
          <w:szCs w:val="21"/>
          <w:highlight w:val="none"/>
        </w:rPr>
      </w:pPr>
      <w:r>
        <w:rPr>
          <w:rFonts w:hint="eastAsia" w:ascii="宋体" w:hAnsi="宋体"/>
          <w:color w:val="auto"/>
          <w:sz w:val="24"/>
          <w:highlight w:val="none"/>
        </w:rPr>
        <w:t>（3）除本章2.3.1和2.5.3的情况外，在采购过程中符合要求的供应商或者报价未超过采购预算的供应商不足3家的。</w:t>
      </w:r>
    </w:p>
    <w:p>
      <w:pPr>
        <w:rPr>
          <w:rFonts w:ascii="宋体" w:hAnsi="宋体" w:cs="宋体"/>
          <w:color w:val="auto"/>
          <w:szCs w:val="21"/>
          <w:highlight w:val="none"/>
        </w:rPr>
      </w:pPr>
    </w:p>
    <w:p>
      <w:pPr>
        <w:pStyle w:val="5"/>
        <w:keepNext w:val="0"/>
        <w:keepLines w:val="0"/>
        <w:spacing w:before="0" w:after="0" w:line="360" w:lineRule="auto"/>
        <w:ind w:firstLine="472" w:firstLineChars="196"/>
        <w:rPr>
          <w:rFonts w:ascii="宋体" w:hAnsi="宋体" w:eastAsia="宋体"/>
          <w:color w:val="auto"/>
          <w:sz w:val="24"/>
          <w:szCs w:val="24"/>
          <w:highlight w:val="none"/>
        </w:rPr>
      </w:pPr>
      <w:bookmarkStart w:id="171" w:name="_Toc7215_WPSOffice_Level2"/>
      <w:bookmarkStart w:id="172" w:name="_Toc5686_WPSOffice_Level2"/>
      <w:r>
        <w:rPr>
          <w:rFonts w:hint="eastAsia" w:ascii="宋体" w:hAnsi="宋体" w:eastAsia="宋体"/>
          <w:color w:val="auto"/>
          <w:sz w:val="24"/>
          <w:szCs w:val="24"/>
          <w:highlight w:val="none"/>
        </w:rPr>
        <w:t>3.综合评分</w:t>
      </w:r>
      <w:bookmarkEnd w:id="171"/>
      <w:bookmarkEnd w:id="172"/>
    </w:p>
    <w:p>
      <w:pPr>
        <w:spacing w:line="360" w:lineRule="auto"/>
        <w:ind w:firstLine="470" w:firstLineChars="196"/>
        <w:rPr>
          <w:color w:val="auto"/>
          <w:sz w:val="24"/>
          <w:highlight w:val="none"/>
        </w:rPr>
      </w:pPr>
      <w:r>
        <w:rPr>
          <w:rFonts w:hint="eastAsia" w:ascii="宋体"/>
          <w:color w:val="auto"/>
          <w:sz w:val="24"/>
          <w:highlight w:val="none"/>
        </w:rPr>
        <w:t>3.1</w:t>
      </w:r>
      <w:r>
        <w:rPr>
          <w:rFonts w:hint="eastAsia"/>
          <w:color w:val="auto"/>
          <w:sz w:val="24"/>
          <w:highlight w:val="none"/>
        </w:rPr>
        <w:t>本次综合评分的因素是：价格</w:t>
      </w:r>
      <w:r>
        <w:rPr>
          <w:rFonts w:hint="eastAsia"/>
          <w:color w:val="auto"/>
          <w:szCs w:val="21"/>
          <w:highlight w:val="none"/>
        </w:rPr>
        <w:t>、</w:t>
      </w:r>
      <w:r>
        <w:rPr>
          <w:rFonts w:hint="eastAsia"/>
          <w:color w:val="auto"/>
          <w:sz w:val="24"/>
          <w:highlight w:val="none"/>
        </w:rPr>
        <w:t>商务、技术等。</w:t>
      </w:r>
    </w:p>
    <w:p>
      <w:pPr>
        <w:spacing w:line="360" w:lineRule="auto"/>
        <w:ind w:firstLine="470" w:firstLineChars="196"/>
        <w:rPr>
          <w:rFonts w:ascii="宋体"/>
          <w:color w:val="auto"/>
          <w:sz w:val="24"/>
          <w:highlight w:val="none"/>
        </w:rPr>
      </w:pPr>
      <w:r>
        <w:rPr>
          <w:rFonts w:hint="eastAsia" w:ascii="宋体"/>
          <w:color w:val="auto"/>
          <w:sz w:val="24"/>
          <w:highlight w:val="none"/>
        </w:rPr>
        <w:t>3.2</w:t>
      </w:r>
      <w:r>
        <w:rPr>
          <w:rFonts w:hint="eastAsia"/>
          <w:color w:val="auto"/>
          <w:sz w:val="24"/>
          <w:highlight w:val="none"/>
        </w:rPr>
        <w:t xml:space="preserve"> 除价格因素外</w:t>
      </w:r>
      <w:r>
        <w:rPr>
          <w:rFonts w:hint="eastAsia" w:ascii="宋体"/>
          <w:color w:val="auto"/>
          <w:sz w:val="24"/>
          <w:highlight w:val="none"/>
        </w:rPr>
        <w:t>，磋商小组成员应当根据自身专业情况独立对每个有效供应商的响应文件进行评价、打分。技术、与技术有关的服务及其他技术类评分因素由抽取的技术方面磋商小组成员独立评分。财务状况及其他经济类评分因素由抽取的经济方面磋商小组成员独立评分。政府采购政策功能、政府采购合同主要条款及其他政策合同类的评分因素由抽取的法律方面磋商小组成员独立评分。采购人代表原则上对技术、与技术有关的服务及其他技术类评分因素独立评分。价格及其他不能明确区分的评分因素由磋商小组成员共同评分。</w:t>
      </w:r>
    </w:p>
    <w:p>
      <w:pPr>
        <w:spacing w:line="360" w:lineRule="auto"/>
        <w:ind w:firstLine="470" w:firstLineChars="196"/>
        <w:rPr>
          <w:rFonts w:ascii="宋体"/>
          <w:color w:val="auto"/>
          <w:sz w:val="24"/>
          <w:highlight w:val="none"/>
        </w:rPr>
      </w:pPr>
      <w:r>
        <w:rPr>
          <w:rFonts w:hint="eastAsia" w:ascii="宋体"/>
          <w:color w:val="auto"/>
          <w:sz w:val="24"/>
          <w:highlight w:val="none"/>
        </w:rPr>
        <w:t>3.3综合评分明细表</w:t>
      </w:r>
    </w:p>
    <w:p>
      <w:pPr>
        <w:pStyle w:val="11"/>
        <w:tabs>
          <w:tab w:val="left" w:pos="600"/>
        </w:tabs>
        <w:spacing w:line="360" w:lineRule="auto"/>
        <w:ind w:firstLine="480" w:firstLineChars="200"/>
        <w:rPr>
          <w:rFonts w:ascii="宋体"/>
          <w:color w:val="auto"/>
          <w:sz w:val="24"/>
          <w:szCs w:val="24"/>
          <w:highlight w:val="none"/>
        </w:rPr>
      </w:pPr>
      <w:r>
        <w:rPr>
          <w:rFonts w:hint="eastAsia" w:ascii="宋体"/>
          <w:color w:val="auto"/>
          <w:sz w:val="24"/>
          <w:szCs w:val="24"/>
          <w:highlight w:val="none"/>
        </w:rPr>
        <w:t>3.3.1综合评分明细表的制定以科学合理、降低评委会自由裁量权为原则。</w:t>
      </w:r>
    </w:p>
    <w:p>
      <w:pPr>
        <w:spacing w:line="360" w:lineRule="auto"/>
        <w:ind w:firstLine="472" w:firstLineChars="196"/>
        <w:rPr>
          <w:rFonts w:ascii="宋体" w:hAnsi="宋体"/>
          <w:b/>
          <w:color w:val="auto"/>
          <w:sz w:val="24"/>
          <w:highlight w:val="none"/>
        </w:rPr>
      </w:pPr>
      <w:r>
        <w:rPr>
          <w:rFonts w:hint="eastAsia" w:ascii="宋体" w:hAnsi="宋体"/>
          <w:b/>
          <w:color w:val="auto"/>
          <w:sz w:val="24"/>
          <w:highlight w:val="none"/>
        </w:rPr>
        <w:t>3.3.2综合评分明细表：</w:t>
      </w:r>
    </w:p>
    <w:tbl>
      <w:tblPr>
        <w:tblStyle w:val="19"/>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4"/>
        <w:gridCol w:w="1704"/>
        <w:gridCol w:w="845"/>
        <w:gridCol w:w="61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0" w:hRule="atLeast"/>
        </w:trPr>
        <w:tc>
          <w:tcPr>
            <w:tcW w:w="361" w:type="pct"/>
            <w:noWrap w:val="0"/>
            <w:vAlign w:val="center"/>
          </w:tcPr>
          <w:p>
            <w:pPr>
              <w:spacing w:line="240" w:lineRule="auto"/>
              <w:jc w:val="center"/>
              <w:rPr>
                <w:rFonts w:hint="eastAsia" w:ascii="宋体" w:hAnsi="宋体" w:eastAsia="宋体" w:cs="宋体"/>
                <w:b/>
                <w:sz w:val="21"/>
                <w:szCs w:val="21"/>
                <w:highlight w:val="none"/>
              </w:rPr>
            </w:pPr>
            <w:bookmarkStart w:id="173" w:name="_Hlk43216154"/>
            <w:r>
              <w:rPr>
                <w:rFonts w:hint="eastAsia" w:ascii="宋体" w:hAnsi="宋体" w:eastAsia="宋体" w:cs="宋体"/>
                <w:b/>
                <w:sz w:val="21"/>
                <w:szCs w:val="21"/>
                <w:highlight w:val="none"/>
              </w:rPr>
              <w:t>序号</w:t>
            </w:r>
          </w:p>
        </w:tc>
        <w:tc>
          <w:tcPr>
            <w:tcW w:w="912" w:type="pct"/>
            <w:noWrap w:val="0"/>
            <w:vAlign w:val="center"/>
          </w:tcPr>
          <w:p>
            <w:pPr>
              <w:spacing w:line="240" w:lineRule="auto"/>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评分因素</w:t>
            </w:r>
          </w:p>
        </w:tc>
        <w:tc>
          <w:tcPr>
            <w:tcW w:w="452" w:type="pct"/>
            <w:noWrap w:val="0"/>
            <w:vAlign w:val="center"/>
          </w:tcPr>
          <w:p>
            <w:pPr>
              <w:spacing w:line="240" w:lineRule="auto"/>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分值</w:t>
            </w:r>
          </w:p>
        </w:tc>
        <w:tc>
          <w:tcPr>
            <w:tcW w:w="3272" w:type="pct"/>
            <w:noWrap w:val="0"/>
            <w:vAlign w:val="center"/>
          </w:tcPr>
          <w:p>
            <w:pPr>
              <w:spacing w:line="240" w:lineRule="auto"/>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361" w:type="pct"/>
            <w:noWrap w:val="0"/>
            <w:vAlign w:val="center"/>
          </w:tcPr>
          <w:p>
            <w:pPr>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c>
          <w:tcPr>
            <w:tcW w:w="912" w:type="pct"/>
            <w:noWrap w:val="0"/>
            <w:vAlign w:val="center"/>
          </w:tcPr>
          <w:p>
            <w:pPr>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报价</w:t>
            </w:r>
          </w:p>
          <w:p>
            <w:pPr>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10%</w:t>
            </w:r>
          </w:p>
        </w:tc>
        <w:tc>
          <w:tcPr>
            <w:tcW w:w="452" w:type="pct"/>
            <w:noWrap w:val="0"/>
            <w:vAlign w:val="center"/>
          </w:tcPr>
          <w:p>
            <w:pPr>
              <w:pStyle w:val="2"/>
              <w:spacing w:line="240" w:lineRule="auto"/>
              <w:jc w:val="center"/>
              <w:rPr>
                <w:rFonts w:hint="eastAsia" w:ascii="宋体" w:hAnsi="宋体" w:eastAsia="宋体" w:cs="宋体"/>
                <w:color w:val="FF0000"/>
                <w:sz w:val="21"/>
                <w:szCs w:val="21"/>
                <w:highlight w:val="none"/>
              </w:rPr>
            </w:pPr>
            <w:r>
              <w:rPr>
                <w:rFonts w:hint="eastAsia" w:ascii="宋体" w:hAnsi="宋体" w:eastAsia="宋体" w:cs="宋体"/>
                <w:sz w:val="21"/>
                <w:szCs w:val="21"/>
                <w:highlight w:val="none"/>
              </w:rPr>
              <w:t>10分</w:t>
            </w:r>
          </w:p>
        </w:tc>
        <w:tc>
          <w:tcPr>
            <w:tcW w:w="3272" w:type="pct"/>
            <w:noWrap w:val="0"/>
            <w:vAlign w:val="center"/>
          </w:tcPr>
          <w:p>
            <w:pPr>
              <w:spacing w:line="24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满足磋商文件要求且响应价格最低的响应报价为评审基准价，其价格分为满分。其他供应商的价格分统一按照下列公式计算：响应报价得分=(评审基准价／响应报价)*10分</w:t>
            </w:r>
          </w:p>
          <w:p>
            <w:pPr>
              <w:spacing w:line="24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注：小微企业价格扣除按照本竞争性磋商文件磋商须知前附表规定执行。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361" w:type="pct"/>
            <w:noWrap w:val="0"/>
            <w:vAlign w:val="center"/>
          </w:tcPr>
          <w:p>
            <w:pPr>
              <w:spacing w:line="240" w:lineRule="auto"/>
              <w:jc w:val="center"/>
              <w:rPr>
                <w:rFonts w:hint="eastAsia" w:ascii="宋体" w:hAnsi="宋体" w:eastAsia="宋体" w:cs="宋体"/>
                <w:b/>
                <w:sz w:val="21"/>
                <w:szCs w:val="21"/>
                <w:highlight w:val="none"/>
              </w:rPr>
            </w:pPr>
            <w:r>
              <w:rPr>
                <w:rFonts w:hint="eastAsia" w:ascii="宋体" w:hAnsi="宋体" w:eastAsia="宋体" w:cs="宋体"/>
                <w:bCs/>
                <w:sz w:val="21"/>
                <w:szCs w:val="21"/>
                <w:highlight w:val="none"/>
              </w:rPr>
              <w:t>2</w:t>
            </w:r>
          </w:p>
        </w:tc>
        <w:tc>
          <w:tcPr>
            <w:tcW w:w="912" w:type="pct"/>
            <w:noWrap w:val="0"/>
            <w:vAlign w:val="center"/>
          </w:tcPr>
          <w:p>
            <w:pPr>
              <w:spacing w:line="240" w:lineRule="auto"/>
              <w:jc w:val="center"/>
              <w:rPr>
                <w:rFonts w:hint="eastAsia" w:ascii="宋体" w:hAnsi="宋体" w:eastAsia="宋体" w:cs="宋体"/>
                <w:b/>
                <w:sz w:val="21"/>
                <w:szCs w:val="21"/>
                <w:highlight w:val="none"/>
              </w:rPr>
            </w:pPr>
            <w:r>
              <w:rPr>
                <w:rFonts w:hint="eastAsia" w:ascii="宋体" w:hAnsi="宋体" w:eastAsia="宋体" w:cs="宋体"/>
                <w:sz w:val="21"/>
                <w:szCs w:val="21"/>
                <w:highlight w:val="none"/>
              </w:rPr>
              <w:t>履约能力</w:t>
            </w:r>
            <w:r>
              <w:rPr>
                <w:rFonts w:hint="eastAsia" w:ascii="宋体" w:hAnsi="宋体" w:cs="宋体"/>
                <w:sz w:val="21"/>
                <w:szCs w:val="21"/>
                <w:highlight w:val="none"/>
                <w:lang w:val="en-US" w:eastAsia="zh-CN"/>
              </w:rPr>
              <w:t>21</w:t>
            </w:r>
            <w:r>
              <w:rPr>
                <w:rFonts w:hint="eastAsia" w:ascii="宋体" w:hAnsi="宋体" w:eastAsia="宋体" w:cs="宋体"/>
                <w:sz w:val="21"/>
                <w:szCs w:val="21"/>
                <w:highlight w:val="none"/>
              </w:rPr>
              <w:t>%</w:t>
            </w:r>
          </w:p>
        </w:tc>
        <w:tc>
          <w:tcPr>
            <w:tcW w:w="452" w:type="pct"/>
            <w:noWrap w:val="0"/>
            <w:vAlign w:val="center"/>
          </w:tcPr>
          <w:p>
            <w:pPr>
              <w:pStyle w:val="2"/>
              <w:spacing w:line="240" w:lineRule="auto"/>
              <w:jc w:val="center"/>
              <w:rPr>
                <w:rFonts w:hint="eastAsia" w:ascii="宋体" w:hAnsi="宋体" w:eastAsia="宋体" w:cs="宋体"/>
                <w:color w:val="FF0000"/>
                <w:sz w:val="21"/>
                <w:szCs w:val="21"/>
                <w:highlight w:val="none"/>
              </w:rPr>
            </w:pPr>
            <w:r>
              <w:rPr>
                <w:rFonts w:hint="eastAsia" w:ascii="宋体" w:hAnsi="宋体" w:eastAsia="宋体" w:cs="宋体"/>
                <w:sz w:val="21"/>
                <w:szCs w:val="21"/>
                <w:highlight w:val="none"/>
                <w:lang w:val="en-US" w:eastAsia="zh-CN"/>
              </w:rPr>
              <w:t>21</w:t>
            </w:r>
            <w:r>
              <w:rPr>
                <w:rFonts w:hint="eastAsia" w:ascii="宋体" w:hAnsi="宋体" w:eastAsia="宋体" w:cs="宋体"/>
                <w:sz w:val="21"/>
                <w:szCs w:val="21"/>
                <w:highlight w:val="none"/>
              </w:rPr>
              <w:t>分</w:t>
            </w:r>
          </w:p>
        </w:tc>
        <w:tc>
          <w:tcPr>
            <w:tcW w:w="3272" w:type="pct"/>
            <w:noWrap w:val="0"/>
            <w:vAlign w:val="center"/>
          </w:tcPr>
          <w:p>
            <w:pPr>
              <w:spacing w:line="24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供应商提供自2018年1月1日（含1日）以来有独立策划和完成过学校相关的视频拍摄制作项目类似业绩</w:t>
            </w:r>
            <w:r>
              <w:rPr>
                <w:rFonts w:hint="eastAsia" w:ascii="宋体" w:hAnsi="宋体" w:cs="宋体"/>
                <w:sz w:val="21"/>
                <w:szCs w:val="21"/>
                <w:highlight w:val="none"/>
                <w:lang w:val="en-US" w:eastAsia="zh-CN"/>
              </w:rPr>
              <w:t>的</w:t>
            </w:r>
            <w:r>
              <w:rPr>
                <w:rFonts w:hint="eastAsia" w:ascii="宋体" w:hAnsi="宋体" w:eastAsia="宋体" w:cs="宋体"/>
                <w:sz w:val="21"/>
                <w:szCs w:val="21"/>
                <w:highlight w:val="none"/>
              </w:rPr>
              <w:t>，每有1个得</w:t>
            </w:r>
            <w:r>
              <w:rPr>
                <w:rFonts w:hint="eastAsia" w:ascii="宋体" w:hAnsi="宋体" w:cs="宋体"/>
                <w:sz w:val="21"/>
                <w:szCs w:val="21"/>
                <w:highlight w:val="none"/>
                <w:lang w:val="en-US" w:eastAsia="zh-CN"/>
              </w:rPr>
              <w:t>3</w:t>
            </w:r>
            <w:r>
              <w:rPr>
                <w:rFonts w:hint="eastAsia" w:ascii="宋体" w:hAnsi="宋体" w:eastAsia="宋体" w:cs="宋体"/>
                <w:sz w:val="21"/>
                <w:szCs w:val="21"/>
                <w:highlight w:val="none"/>
              </w:rPr>
              <w:t>分，最多得</w:t>
            </w:r>
            <w:r>
              <w:rPr>
                <w:rFonts w:hint="eastAsia" w:ascii="宋体" w:hAnsi="宋体" w:cs="宋体"/>
                <w:sz w:val="21"/>
                <w:szCs w:val="21"/>
                <w:highlight w:val="none"/>
                <w:lang w:val="en-US" w:eastAsia="zh-CN"/>
              </w:rPr>
              <w:t>21</w:t>
            </w:r>
            <w:r>
              <w:rPr>
                <w:rFonts w:hint="eastAsia" w:ascii="宋体" w:hAnsi="宋体" w:eastAsia="宋体" w:cs="宋体"/>
                <w:sz w:val="21"/>
                <w:szCs w:val="21"/>
                <w:highlight w:val="none"/>
              </w:rPr>
              <w:t>分。</w:t>
            </w:r>
          </w:p>
          <w:p>
            <w:pPr>
              <w:spacing w:line="240" w:lineRule="auto"/>
              <w:ind w:firstLine="420" w:firstLineChars="200"/>
              <w:rPr>
                <w:rFonts w:hint="eastAsia" w:ascii="宋体" w:hAnsi="宋体" w:eastAsia="宋体" w:cs="宋体"/>
                <w:b/>
                <w:sz w:val="21"/>
                <w:szCs w:val="21"/>
                <w:highlight w:val="none"/>
              </w:rPr>
            </w:pPr>
            <w:r>
              <w:rPr>
                <w:rFonts w:hint="eastAsia" w:ascii="宋体" w:hAnsi="宋体" w:eastAsia="宋体" w:cs="宋体"/>
                <w:sz w:val="21"/>
                <w:szCs w:val="21"/>
                <w:highlight w:val="none"/>
              </w:rPr>
              <w:t>注：提供合同或中标通知书复印件并加盖供应商公章)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361" w:type="pct"/>
            <w:noWrap w:val="0"/>
            <w:vAlign w:val="center"/>
          </w:tcPr>
          <w:p>
            <w:pPr>
              <w:spacing w:line="240" w:lineRule="auto"/>
              <w:ind w:firstLine="28"/>
              <w:jc w:val="center"/>
              <w:rPr>
                <w:rFonts w:hint="eastAsia" w:ascii="宋体" w:hAnsi="宋体" w:eastAsia="宋体" w:cs="宋体"/>
                <w:bCs/>
                <w:sz w:val="21"/>
                <w:szCs w:val="21"/>
                <w:highlight w:val="none"/>
              </w:rPr>
            </w:pPr>
            <w:r>
              <w:rPr>
                <w:rFonts w:hint="eastAsia" w:ascii="宋体" w:hAnsi="宋体" w:eastAsia="宋体" w:cs="宋体"/>
                <w:sz w:val="21"/>
                <w:szCs w:val="21"/>
                <w:highlight w:val="none"/>
              </w:rPr>
              <w:t>3</w:t>
            </w:r>
          </w:p>
        </w:tc>
        <w:tc>
          <w:tcPr>
            <w:tcW w:w="912" w:type="pct"/>
            <w:noWrap w:val="0"/>
            <w:vAlign w:val="center"/>
          </w:tcPr>
          <w:p>
            <w:pPr>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项目内容及要求2</w:t>
            </w:r>
            <w:r>
              <w:rPr>
                <w:rFonts w:hint="eastAsia" w:ascii="宋体" w:hAnsi="宋体" w:cs="宋体"/>
                <w:sz w:val="21"/>
                <w:szCs w:val="21"/>
                <w:highlight w:val="none"/>
                <w:lang w:val="en-US" w:eastAsia="zh-CN"/>
              </w:rPr>
              <w:t>1</w:t>
            </w:r>
            <w:r>
              <w:rPr>
                <w:rFonts w:hint="eastAsia" w:ascii="宋体" w:hAnsi="宋体" w:eastAsia="宋体" w:cs="宋体"/>
                <w:sz w:val="21"/>
                <w:szCs w:val="21"/>
                <w:highlight w:val="none"/>
              </w:rPr>
              <w:t>%</w:t>
            </w:r>
          </w:p>
        </w:tc>
        <w:tc>
          <w:tcPr>
            <w:tcW w:w="452" w:type="pct"/>
            <w:noWrap w:val="0"/>
            <w:vAlign w:val="center"/>
          </w:tcPr>
          <w:p>
            <w:pPr>
              <w:pStyle w:val="2"/>
              <w:spacing w:line="240" w:lineRule="auto"/>
              <w:jc w:val="center"/>
              <w:rPr>
                <w:rFonts w:hint="eastAsia" w:ascii="宋体" w:hAnsi="宋体" w:eastAsia="宋体" w:cs="宋体"/>
                <w:color w:val="FF0000"/>
                <w:sz w:val="21"/>
                <w:szCs w:val="21"/>
                <w:highlight w:val="none"/>
              </w:rPr>
            </w:pPr>
            <w:r>
              <w:rPr>
                <w:rFonts w:hint="eastAsia" w:ascii="宋体" w:hAnsi="宋体" w:eastAsia="宋体" w:cs="宋体"/>
                <w:sz w:val="21"/>
                <w:szCs w:val="21"/>
                <w:highlight w:val="none"/>
              </w:rPr>
              <w:t>2</w:t>
            </w: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rPr>
              <w:t>分</w:t>
            </w:r>
          </w:p>
        </w:tc>
        <w:tc>
          <w:tcPr>
            <w:tcW w:w="3272" w:type="pct"/>
            <w:noWrap w:val="0"/>
            <w:vAlign w:val="center"/>
          </w:tcPr>
          <w:p>
            <w:pPr>
              <w:spacing w:line="24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完全符合磋商文件第五章项目内容及要求没有负偏离得2</w:t>
            </w:r>
            <w:r>
              <w:rPr>
                <w:rFonts w:hint="eastAsia" w:ascii="宋体" w:hAnsi="宋体" w:cs="宋体"/>
                <w:sz w:val="21"/>
                <w:szCs w:val="21"/>
                <w:highlight w:val="none"/>
                <w:lang w:val="en-US" w:eastAsia="zh-CN"/>
              </w:rPr>
              <w:t>1</w:t>
            </w:r>
            <w:r>
              <w:rPr>
                <w:rFonts w:hint="eastAsia" w:ascii="宋体" w:hAnsi="宋体" w:eastAsia="宋体" w:cs="宋体"/>
                <w:sz w:val="21"/>
                <w:szCs w:val="21"/>
                <w:highlight w:val="none"/>
              </w:rPr>
              <w:t>分；低于磋商文件要求的（负偏离），一项（以编号“1”为1项）扣</w:t>
            </w:r>
            <w:r>
              <w:rPr>
                <w:rFonts w:hint="eastAsia" w:ascii="宋体" w:hAnsi="宋体" w:cs="宋体"/>
                <w:sz w:val="21"/>
                <w:szCs w:val="21"/>
                <w:highlight w:val="none"/>
                <w:lang w:val="en-US" w:eastAsia="zh-CN"/>
              </w:rPr>
              <w:t>3</w:t>
            </w:r>
            <w:r>
              <w:rPr>
                <w:rFonts w:hint="eastAsia" w:ascii="宋体" w:hAnsi="宋体" w:eastAsia="宋体" w:cs="宋体"/>
                <w:sz w:val="21"/>
                <w:szCs w:val="21"/>
                <w:highlight w:val="none"/>
              </w:rPr>
              <w:t>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361" w:type="pct"/>
            <w:noWrap w:val="0"/>
            <w:vAlign w:val="center"/>
          </w:tcPr>
          <w:p>
            <w:pPr>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4</w:t>
            </w:r>
          </w:p>
        </w:tc>
        <w:tc>
          <w:tcPr>
            <w:tcW w:w="912" w:type="pct"/>
            <w:noWrap w:val="0"/>
            <w:vAlign w:val="center"/>
          </w:tcPr>
          <w:p>
            <w:pPr>
              <w:keepNext/>
              <w:keepLines/>
              <w:wordWrap w:val="0"/>
              <w:topLinePunct/>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服务方案</w:t>
            </w:r>
          </w:p>
          <w:p>
            <w:pPr>
              <w:keepNext/>
              <w:keepLines/>
              <w:wordWrap w:val="0"/>
              <w:topLinePunct/>
              <w:spacing w:line="240" w:lineRule="auto"/>
              <w:jc w:val="center"/>
              <w:rPr>
                <w:rFonts w:hint="eastAsia" w:ascii="宋体" w:hAnsi="宋体" w:eastAsia="宋体" w:cs="宋体"/>
                <w:bCs/>
                <w:sz w:val="21"/>
                <w:szCs w:val="21"/>
                <w:highlight w:val="none"/>
              </w:rPr>
            </w:pPr>
            <w:r>
              <w:rPr>
                <w:rFonts w:hint="eastAsia" w:ascii="宋体" w:hAnsi="宋体" w:eastAsia="宋体" w:cs="宋体"/>
                <w:sz w:val="21"/>
                <w:szCs w:val="21"/>
                <w:highlight w:val="none"/>
              </w:rPr>
              <w:t>4</w:t>
            </w:r>
            <w:r>
              <w:rPr>
                <w:rFonts w:hint="eastAsia" w:ascii="宋体" w:hAnsi="宋体" w:cs="宋体"/>
                <w:sz w:val="21"/>
                <w:szCs w:val="21"/>
                <w:highlight w:val="none"/>
                <w:lang w:val="en-US" w:eastAsia="zh-CN"/>
              </w:rPr>
              <w:t>8</w:t>
            </w:r>
            <w:r>
              <w:rPr>
                <w:rFonts w:hint="eastAsia" w:ascii="宋体" w:hAnsi="宋体" w:eastAsia="宋体" w:cs="宋体"/>
                <w:sz w:val="21"/>
                <w:szCs w:val="21"/>
                <w:highlight w:val="none"/>
              </w:rPr>
              <w:t>%</w:t>
            </w:r>
          </w:p>
        </w:tc>
        <w:tc>
          <w:tcPr>
            <w:tcW w:w="452" w:type="pct"/>
            <w:noWrap w:val="0"/>
            <w:vAlign w:val="center"/>
          </w:tcPr>
          <w:p>
            <w:pPr>
              <w:pStyle w:val="2"/>
              <w:spacing w:line="240" w:lineRule="auto"/>
              <w:jc w:val="center"/>
              <w:rPr>
                <w:rFonts w:hint="eastAsia" w:ascii="宋体" w:hAnsi="宋体" w:eastAsia="宋体" w:cs="宋体"/>
                <w:color w:val="FF0000"/>
                <w:sz w:val="21"/>
                <w:szCs w:val="21"/>
                <w:highlight w:val="none"/>
              </w:rPr>
            </w:pPr>
            <w:r>
              <w:rPr>
                <w:rFonts w:hint="eastAsia" w:ascii="宋体" w:hAnsi="宋体" w:eastAsia="宋体" w:cs="宋体"/>
                <w:sz w:val="21"/>
                <w:szCs w:val="21"/>
                <w:highlight w:val="none"/>
              </w:rPr>
              <w:t>4</w:t>
            </w:r>
            <w:r>
              <w:rPr>
                <w:rFonts w:hint="eastAsia" w:ascii="宋体" w:hAnsi="宋体" w:eastAsia="宋体" w:cs="宋体"/>
                <w:sz w:val="21"/>
                <w:szCs w:val="21"/>
                <w:highlight w:val="none"/>
                <w:lang w:val="en-US" w:eastAsia="zh-CN"/>
              </w:rPr>
              <w:t>8</w:t>
            </w:r>
            <w:r>
              <w:rPr>
                <w:rFonts w:hint="eastAsia" w:ascii="宋体" w:hAnsi="宋体" w:eastAsia="宋体" w:cs="宋体"/>
                <w:sz w:val="21"/>
                <w:szCs w:val="21"/>
                <w:highlight w:val="none"/>
              </w:rPr>
              <w:t>分</w:t>
            </w:r>
          </w:p>
        </w:tc>
        <w:tc>
          <w:tcPr>
            <w:tcW w:w="3272" w:type="pct"/>
            <w:noWrap w:val="0"/>
            <w:vAlign w:val="center"/>
          </w:tcPr>
          <w:p>
            <w:pPr>
              <w:pStyle w:val="2"/>
              <w:keepNext/>
              <w:keepLines/>
              <w:wordWrap w:val="0"/>
              <w:topLinePunct/>
              <w:spacing w:line="24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服务方案内容包括但不限于</w:t>
            </w:r>
            <w:r>
              <w:rPr>
                <w:rFonts w:hint="eastAsia" w:ascii="宋体" w:hAnsi="宋体" w:eastAsia="宋体" w:cs="宋体"/>
                <w:b/>
                <w:bCs/>
                <w:sz w:val="21"/>
                <w:szCs w:val="21"/>
                <w:highlight w:val="none"/>
              </w:rPr>
              <w:t>本项目重难点分析及解决方案、管理机构设置、艺术表现</w:t>
            </w:r>
            <w:r>
              <w:rPr>
                <w:rFonts w:hint="eastAsia" w:ascii="宋体" w:hAnsi="宋体" w:eastAsia="宋体" w:cs="宋体"/>
                <w:b/>
                <w:bCs/>
                <w:sz w:val="21"/>
                <w:szCs w:val="21"/>
                <w:highlight w:val="none"/>
                <w:lang w:eastAsia="zh-CN"/>
              </w:rPr>
              <w:t>、</w:t>
            </w:r>
            <w:r>
              <w:rPr>
                <w:rFonts w:hint="eastAsia" w:ascii="宋体" w:hAnsi="宋体" w:eastAsia="宋体" w:cs="宋体"/>
                <w:b/>
                <w:bCs/>
                <w:sz w:val="21"/>
                <w:szCs w:val="21"/>
                <w:highlight w:val="none"/>
              </w:rPr>
              <w:t>拍摄制作流程、沟通机制、应急解决方案、项目设备使用方案、质量管理</w:t>
            </w:r>
            <w:r>
              <w:rPr>
                <w:rFonts w:hint="eastAsia" w:ascii="宋体" w:hAnsi="宋体" w:eastAsia="宋体" w:cs="宋体"/>
                <w:b/>
                <w:bCs/>
                <w:sz w:val="21"/>
                <w:szCs w:val="21"/>
                <w:highlight w:val="none"/>
                <w:lang w:val="en-US" w:eastAsia="zh-CN"/>
              </w:rPr>
              <w:t>措施</w:t>
            </w:r>
            <w:r>
              <w:rPr>
                <w:rFonts w:hint="eastAsia" w:ascii="宋体" w:hAnsi="宋体" w:eastAsia="宋体" w:cs="宋体"/>
                <w:sz w:val="21"/>
                <w:szCs w:val="21"/>
                <w:highlight w:val="none"/>
              </w:rPr>
              <w:t>，内容齐全且满足本项目需求的得4</w:t>
            </w:r>
            <w:r>
              <w:rPr>
                <w:rFonts w:hint="eastAsia" w:ascii="宋体" w:hAnsi="宋体" w:eastAsia="宋体" w:cs="宋体"/>
                <w:sz w:val="21"/>
                <w:szCs w:val="21"/>
                <w:highlight w:val="none"/>
                <w:lang w:val="en-US" w:eastAsia="zh-CN"/>
              </w:rPr>
              <w:t>8</w:t>
            </w:r>
            <w:r>
              <w:rPr>
                <w:rFonts w:hint="eastAsia" w:ascii="宋体" w:hAnsi="宋体" w:eastAsia="宋体" w:cs="宋体"/>
                <w:sz w:val="21"/>
                <w:szCs w:val="21"/>
                <w:highlight w:val="none"/>
              </w:rPr>
              <w:t>分，每有一项缺项扣6分，每有一项不完善或无针对性的扣3分，扣完为止。</w:t>
            </w:r>
          </w:p>
        </w:tc>
      </w:tr>
      <w:bookmarkEnd w:id="173"/>
    </w:tbl>
    <w:p>
      <w:pPr>
        <w:ind w:firstLine="360" w:firstLineChars="150"/>
        <w:rPr>
          <w:color w:val="auto"/>
          <w:sz w:val="24"/>
          <w:highlight w:val="none"/>
        </w:rPr>
      </w:pPr>
      <w:r>
        <w:rPr>
          <w:rFonts w:hint="eastAsia"/>
          <w:color w:val="auto"/>
          <w:sz w:val="24"/>
          <w:highlight w:val="none"/>
        </w:rPr>
        <w:t>注：评分的取值按四舍五入法，保留小数点后两位。</w:t>
      </w:r>
      <w:bookmarkEnd w:id="163"/>
      <w:bookmarkEnd w:id="164"/>
      <w:bookmarkEnd w:id="165"/>
      <w:bookmarkEnd w:id="166"/>
    </w:p>
    <w:p>
      <w:pPr>
        <w:rPr>
          <w:color w:val="auto"/>
          <w:highlight w:val="none"/>
        </w:rPr>
      </w:pPr>
      <w:bookmarkStart w:id="174" w:name="_Toc21472_WPSOffice_Level2"/>
    </w:p>
    <w:p>
      <w:pPr>
        <w:pStyle w:val="5"/>
        <w:keepNext w:val="0"/>
        <w:keepLines w:val="0"/>
        <w:spacing w:before="0" w:after="0" w:line="360" w:lineRule="auto"/>
        <w:ind w:firstLine="472" w:firstLineChars="196"/>
        <w:rPr>
          <w:rFonts w:ascii="宋体" w:hAnsi="宋体" w:eastAsia="宋体"/>
          <w:color w:val="auto"/>
          <w:sz w:val="24"/>
          <w:szCs w:val="24"/>
          <w:highlight w:val="none"/>
        </w:rPr>
      </w:pPr>
      <w:bookmarkStart w:id="175" w:name="_Toc32701_WPSOffice_Level2"/>
      <w:r>
        <w:rPr>
          <w:rFonts w:hint="eastAsia" w:ascii="宋体" w:hAnsi="宋体" w:eastAsia="宋体"/>
          <w:color w:val="auto"/>
          <w:sz w:val="24"/>
          <w:szCs w:val="24"/>
          <w:highlight w:val="none"/>
        </w:rPr>
        <w:t>4.磋商纪律及注意事项</w:t>
      </w:r>
      <w:bookmarkEnd w:id="174"/>
      <w:bookmarkEnd w:id="175"/>
    </w:p>
    <w:p>
      <w:pPr>
        <w:tabs>
          <w:tab w:val="left" w:pos="851"/>
        </w:tabs>
        <w:spacing w:line="360" w:lineRule="auto"/>
        <w:ind w:firstLine="480" w:firstLineChars="200"/>
        <w:rPr>
          <w:rFonts w:ascii="宋体" w:hAnsi="宋体"/>
          <w:color w:val="auto"/>
          <w:sz w:val="24"/>
          <w:highlight w:val="none"/>
        </w:rPr>
      </w:pPr>
      <w:r>
        <w:rPr>
          <w:rFonts w:hint="eastAsia" w:ascii="宋体" w:hAnsi="宋体"/>
          <w:color w:val="auto"/>
          <w:sz w:val="24"/>
          <w:highlight w:val="none"/>
        </w:rPr>
        <w:t>4.1磋商小组内部讨论的情况和意见必须保密，任何人不得以任何形式透露给供应商或与供应商有关的单位或个人。</w:t>
      </w:r>
    </w:p>
    <w:p>
      <w:pPr>
        <w:tabs>
          <w:tab w:val="left" w:pos="851"/>
        </w:tabs>
        <w:spacing w:line="360" w:lineRule="auto"/>
        <w:ind w:firstLine="480" w:firstLineChars="200"/>
        <w:rPr>
          <w:rFonts w:ascii="宋体" w:hAnsi="宋体"/>
          <w:color w:val="auto"/>
          <w:sz w:val="24"/>
          <w:highlight w:val="none"/>
        </w:rPr>
      </w:pPr>
      <w:r>
        <w:rPr>
          <w:rFonts w:hint="eastAsia" w:ascii="宋体" w:hAnsi="宋体"/>
          <w:color w:val="auto"/>
          <w:sz w:val="24"/>
          <w:highlight w:val="none"/>
        </w:rPr>
        <w:t>4.2在磋商过程中，供应商不得以任何形式对磋商小组成员进行旨在影响</w:t>
      </w:r>
      <w:r>
        <w:rPr>
          <w:rFonts w:hint="eastAsia" w:ascii="宋体" w:hAnsi="宋体"/>
          <w:color w:val="auto"/>
          <w:sz w:val="24"/>
          <w:highlight w:val="none"/>
          <w:lang w:eastAsia="zh-CN"/>
        </w:rPr>
        <w:t>谈判</w:t>
      </w:r>
      <w:r>
        <w:rPr>
          <w:rFonts w:hint="eastAsia" w:ascii="宋体" w:hAnsi="宋体"/>
          <w:color w:val="auto"/>
          <w:sz w:val="24"/>
          <w:highlight w:val="none"/>
        </w:rPr>
        <w:t>结果的私下接触，否则将取消其参与磋商的资格。</w:t>
      </w:r>
    </w:p>
    <w:p>
      <w:pPr>
        <w:tabs>
          <w:tab w:val="left" w:pos="851"/>
        </w:tabs>
        <w:spacing w:line="360" w:lineRule="auto"/>
        <w:ind w:firstLine="480" w:firstLineChars="200"/>
        <w:rPr>
          <w:rFonts w:ascii="宋体" w:hAnsi="宋体"/>
          <w:color w:val="auto"/>
          <w:sz w:val="24"/>
          <w:highlight w:val="none"/>
        </w:rPr>
      </w:pPr>
      <w:r>
        <w:rPr>
          <w:rFonts w:hint="eastAsia" w:ascii="宋体" w:hAnsi="宋体"/>
          <w:color w:val="auto"/>
          <w:sz w:val="24"/>
          <w:highlight w:val="none"/>
        </w:rPr>
        <w:t>4.3</w:t>
      </w:r>
      <w:r>
        <w:rPr>
          <w:rFonts w:hint="eastAsia"/>
          <w:color w:val="auto"/>
          <w:sz w:val="24"/>
          <w:highlight w:val="none"/>
        </w:rPr>
        <w:t>对各供应商的商业秘密，磋商小组成员应予以保密，不得泄露给其他供应商。</w:t>
      </w:r>
    </w:p>
    <w:p>
      <w:pPr>
        <w:tabs>
          <w:tab w:val="left" w:pos="851"/>
        </w:tabs>
        <w:spacing w:line="360" w:lineRule="auto"/>
        <w:ind w:firstLine="480" w:firstLineChars="200"/>
        <w:rPr>
          <w:rFonts w:ascii="宋体" w:hAnsi="宋体"/>
          <w:color w:val="auto"/>
          <w:sz w:val="24"/>
          <w:highlight w:val="none"/>
        </w:rPr>
      </w:pPr>
      <w:r>
        <w:rPr>
          <w:rFonts w:hint="eastAsia" w:ascii="宋体" w:hAnsi="宋体"/>
          <w:color w:val="auto"/>
          <w:sz w:val="24"/>
          <w:highlight w:val="none"/>
        </w:rPr>
        <w:t>4.4 磋商小组独立评判，推荐成交候选人，并写出书面报告。</w:t>
      </w:r>
    </w:p>
    <w:p>
      <w:pPr>
        <w:tabs>
          <w:tab w:val="left" w:pos="851"/>
        </w:tabs>
        <w:spacing w:line="360" w:lineRule="auto"/>
        <w:ind w:firstLine="480" w:firstLineChars="200"/>
        <w:rPr>
          <w:rFonts w:ascii="宋体" w:hAnsi="宋体"/>
          <w:color w:val="auto"/>
          <w:sz w:val="24"/>
          <w:highlight w:val="none"/>
        </w:rPr>
      </w:pPr>
      <w:r>
        <w:rPr>
          <w:rFonts w:hint="eastAsia" w:ascii="宋体" w:hAnsi="宋体"/>
          <w:color w:val="auto"/>
          <w:sz w:val="24"/>
          <w:highlight w:val="none"/>
        </w:rPr>
        <w:t>4.5 磋商小组可根据需要对供应商进行实地考察。</w:t>
      </w:r>
    </w:p>
    <w:p>
      <w:pPr>
        <w:spacing w:line="360" w:lineRule="auto"/>
        <w:rPr>
          <w:rFonts w:ascii="宋体"/>
          <w:color w:val="auto"/>
          <w:szCs w:val="21"/>
          <w:highlight w:val="none"/>
        </w:rPr>
      </w:pPr>
    </w:p>
    <w:p>
      <w:pPr>
        <w:keepNext w:val="0"/>
        <w:keepLines w:val="0"/>
        <w:spacing w:before="0" w:after="0" w:line="360" w:lineRule="auto"/>
        <w:ind w:firstLine="472" w:firstLineChars="196"/>
        <w:outlineLvl w:val="9"/>
        <w:rPr>
          <w:rFonts w:ascii="宋体" w:hAnsi="宋体" w:eastAsia="宋体"/>
          <w:b/>
          <w:bCs/>
          <w:color w:val="auto"/>
          <w:sz w:val="24"/>
          <w:szCs w:val="24"/>
          <w:highlight w:val="none"/>
        </w:rPr>
      </w:pPr>
      <w:bookmarkStart w:id="176" w:name="_Toc29183_WPSOffice_Level2"/>
      <w:bookmarkStart w:id="177" w:name="_Toc17761_WPSOffice_Level2"/>
      <w:r>
        <w:rPr>
          <w:rFonts w:hint="eastAsia" w:ascii="宋体" w:hAnsi="宋体" w:eastAsia="宋体"/>
          <w:b/>
          <w:bCs/>
          <w:color w:val="auto"/>
          <w:sz w:val="24"/>
          <w:szCs w:val="24"/>
          <w:highlight w:val="none"/>
        </w:rPr>
        <w:t>5.</w:t>
      </w:r>
      <w:bookmarkEnd w:id="167"/>
      <w:r>
        <w:rPr>
          <w:rFonts w:hint="eastAsia" w:ascii="宋体" w:hAnsi="宋体" w:eastAsia="宋体"/>
          <w:b/>
          <w:bCs/>
          <w:color w:val="auto"/>
          <w:sz w:val="24"/>
          <w:szCs w:val="24"/>
          <w:highlight w:val="none"/>
        </w:rPr>
        <w:t>磋商小组在政府采购活动中承担以下义务：</w:t>
      </w:r>
      <w:bookmarkEnd w:id="176"/>
      <w:bookmarkEnd w:id="177"/>
    </w:p>
    <w:p>
      <w:pPr>
        <w:tabs>
          <w:tab w:val="left" w:pos="7665"/>
        </w:tabs>
        <w:spacing w:line="360" w:lineRule="auto"/>
        <w:ind w:firstLine="480" w:firstLineChars="200"/>
        <w:rPr>
          <w:rFonts w:ascii="宋体" w:hAnsi="宋体"/>
          <w:color w:val="auto"/>
          <w:sz w:val="24"/>
          <w:highlight w:val="none"/>
        </w:rPr>
      </w:pPr>
      <w:r>
        <w:rPr>
          <w:rFonts w:hint="eastAsia" w:ascii="宋体" w:hAnsi="宋体"/>
          <w:color w:val="auto"/>
          <w:sz w:val="24"/>
          <w:highlight w:val="none"/>
        </w:rPr>
        <w:t>（1）遵守评审工作纪律；</w:t>
      </w:r>
    </w:p>
    <w:p>
      <w:pPr>
        <w:tabs>
          <w:tab w:val="left" w:pos="7665"/>
        </w:tabs>
        <w:spacing w:line="360" w:lineRule="auto"/>
        <w:ind w:firstLine="480" w:firstLineChars="200"/>
        <w:rPr>
          <w:rFonts w:ascii="宋体" w:hAnsi="宋体"/>
          <w:color w:val="auto"/>
          <w:sz w:val="24"/>
          <w:highlight w:val="none"/>
        </w:rPr>
      </w:pPr>
      <w:r>
        <w:rPr>
          <w:rFonts w:hint="eastAsia" w:ascii="宋体" w:hAnsi="宋体"/>
          <w:color w:val="auto"/>
          <w:sz w:val="24"/>
          <w:highlight w:val="none"/>
        </w:rPr>
        <w:t>（2）按照客观、公正、审慎的原则，根据磋商文件规定的评审程序、评审方法和评审标准进行独立评审；</w:t>
      </w:r>
    </w:p>
    <w:p>
      <w:pPr>
        <w:tabs>
          <w:tab w:val="left" w:pos="7665"/>
        </w:tabs>
        <w:spacing w:line="360" w:lineRule="auto"/>
        <w:ind w:firstLine="480" w:firstLineChars="200"/>
        <w:rPr>
          <w:rFonts w:ascii="宋体" w:hAnsi="宋体"/>
          <w:color w:val="auto"/>
          <w:sz w:val="24"/>
          <w:highlight w:val="none"/>
        </w:rPr>
      </w:pPr>
      <w:r>
        <w:rPr>
          <w:rFonts w:hint="eastAsia" w:ascii="宋体" w:hAnsi="宋体"/>
          <w:color w:val="auto"/>
          <w:sz w:val="24"/>
          <w:highlight w:val="none"/>
        </w:rPr>
        <w:t>（3）不得泄露评审文件、评审情况和在评审过程中获悉的商业秘密；</w:t>
      </w:r>
    </w:p>
    <w:p>
      <w:pPr>
        <w:tabs>
          <w:tab w:val="left" w:pos="7665"/>
        </w:tabs>
        <w:spacing w:line="360" w:lineRule="auto"/>
        <w:ind w:firstLine="480" w:firstLineChars="200"/>
        <w:rPr>
          <w:rFonts w:ascii="宋体" w:hAnsi="宋体"/>
          <w:color w:val="auto"/>
          <w:sz w:val="24"/>
          <w:highlight w:val="none"/>
        </w:rPr>
      </w:pPr>
      <w:r>
        <w:rPr>
          <w:rFonts w:hint="eastAsia" w:ascii="宋体" w:hAnsi="宋体"/>
          <w:color w:val="auto"/>
          <w:sz w:val="24"/>
          <w:highlight w:val="none"/>
        </w:rPr>
        <w:t>（4）及时向财政部门报告评审过程中发现的采购人、采购代理机构向评审专家做倾向性、误导性的解释或者说明，以及供应商行贿、提供虚假材料或者串通等违法行为；</w:t>
      </w:r>
    </w:p>
    <w:p>
      <w:pPr>
        <w:tabs>
          <w:tab w:val="left" w:pos="7665"/>
        </w:tabs>
        <w:spacing w:line="360" w:lineRule="auto"/>
        <w:ind w:firstLine="480" w:firstLineChars="200"/>
        <w:rPr>
          <w:rFonts w:ascii="宋体" w:hAnsi="宋体"/>
          <w:color w:val="auto"/>
          <w:sz w:val="24"/>
          <w:highlight w:val="none"/>
        </w:rPr>
      </w:pPr>
      <w:r>
        <w:rPr>
          <w:rFonts w:hint="eastAsia" w:ascii="宋体" w:hAnsi="宋体"/>
          <w:color w:val="auto"/>
          <w:sz w:val="24"/>
          <w:highlight w:val="none"/>
        </w:rPr>
        <w:t>（5）发现磋商文件内容违反国家有关强制性规定或者磋商文件存在歧义、重大缺陷导致评审工作无法进行时，停止评审并向采购人或者采购代理机构书面说明情况；</w:t>
      </w:r>
    </w:p>
    <w:p>
      <w:pPr>
        <w:tabs>
          <w:tab w:val="left" w:pos="7665"/>
        </w:tabs>
        <w:spacing w:line="360" w:lineRule="auto"/>
        <w:ind w:firstLine="480" w:firstLineChars="200"/>
        <w:rPr>
          <w:rFonts w:ascii="宋体" w:hAnsi="宋体"/>
          <w:color w:val="auto"/>
          <w:sz w:val="24"/>
          <w:highlight w:val="none"/>
        </w:rPr>
      </w:pPr>
      <w:r>
        <w:rPr>
          <w:rFonts w:hint="eastAsia" w:ascii="宋体" w:hAnsi="宋体"/>
          <w:color w:val="auto"/>
          <w:sz w:val="24"/>
          <w:highlight w:val="none"/>
        </w:rPr>
        <w:t>（6）及时向财政、监察等部门举报在评审过程中受到非法干预的情况；</w:t>
      </w:r>
    </w:p>
    <w:p>
      <w:pPr>
        <w:tabs>
          <w:tab w:val="left" w:pos="7665"/>
        </w:tabs>
        <w:spacing w:line="360" w:lineRule="auto"/>
        <w:ind w:firstLine="480" w:firstLineChars="200"/>
        <w:rPr>
          <w:rFonts w:ascii="宋体" w:hAnsi="宋体"/>
          <w:color w:val="auto"/>
          <w:sz w:val="24"/>
          <w:highlight w:val="none"/>
        </w:rPr>
      </w:pPr>
      <w:r>
        <w:rPr>
          <w:rFonts w:hint="eastAsia" w:ascii="宋体" w:hAnsi="宋体"/>
          <w:color w:val="auto"/>
          <w:sz w:val="24"/>
          <w:highlight w:val="none"/>
        </w:rPr>
        <w:t>（7）配合答复处理供应商的询问、质疑和投诉等事项；</w:t>
      </w:r>
    </w:p>
    <w:p>
      <w:pPr>
        <w:tabs>
          <w:tab w:val="left" w:pos="7665"/>
        </w:tabs>
        <w:spacing w:line="360" w:lineRule="auto"/>
        <w:ind w:firstLine="480" w:firstLineChars="200"/>
        <w:rPr>
          <w:rFonts w:ascii="宋体" w:hAnsi="宋体"/>
          <w:color w:val="auto"/>
          <w:sz w:val="24"/>
          <w:highlight w:val="none"/>
        </w:rPr>
      </w:pPr>
      <w:r>
        <w:rPr>
          <w:rFonts w:hint="eastAsia" w:ascii="宋体" w:hAnsi="宋体"/>
          <w:color w:val="auto"/>
          <w:sz w:val="24"/>
          <w:highlight w:val="none"/>
        </w:rPr>
        <w:t>（8）法律、法规和规章规定的其他义务。</w:t>
      </w:r>
    </w:p>
    <w:p>
      <w:pPr>
        <w:rPr>
          <w:rFonts w:ascii="宋体" w:hAnsi="宋体"/>
          <w:color w:val="auto"/>
          <w:szCs w:val="21"/>
          <w:highlight w:val="none"/>
        </w:rPr>
      </w:pPr>
    </w:p>
    <w:p>
      <w:pPr>
        <w:keepNext w:val="0"/>
        <w:keepLines w:val="0"/>
        <w:pageBreakBefore w:val="0"/>
        <w:widowControl w:val="0"/>
        <w:kinsoku/>
        <w:wordWrap/>
        <w:overflowPunct/>
        <w:topLinePunct w:val="0"/>
        <w:autoSpaceDE/>
        <w:autoSpaceDN/>
        <w:bidi w:val="0"/>
        <w:adjustRightInd/>
        <w:snapToGrid/>
        <w:spacing w:before="0" w:after="0" w:line="360" w:lineRule="auto"/>
        <w:ind w:firstLine="482" w:firstLineChars="200"/>
        <w:textAlignment w:val="auto"/>
        <w:outlineLvl w:val="9"/>
        <w:rPr>
          <w:rFonts w:ascii="宋体" w:hAnsi="宋体" w:eastAsia="宋体"/>
          <w:b/>
          <w:bCs/>
          <w:color w:val="auto"/>
          <w:sz w:val="24"/>
          <w:szCs w:val="24"/>
          <w:highlight w:val="none"/>
        </w:rPr>
      </w:pPr>
      <w:bookmarkStart w:id="178" w:name="_Toc17404_WPSOffice_Level2"/>
      <w:bookmarkStart w:id="179" w:name="_Toc13308_WPSOffice_Level2"/>
      <w:r>
        <w:rPr>
          <w:rFonts w:hint="eastAsia" w:ascii="宋体" w:hAnsi="宋体" w:eastAsia="宋体"/>
          <w:b/>
          <w:bCs/>
          <w:color w:val="auto"/>
          <w:sz w:val="24"/>
          <w:szCs w:val="24"/>
          <w:highlight w:val="none"/>
        </w:rPr>
        <w:t>6.评审专家在政府采购活动中应当遵守以下工作纪律：</w:t>
      </w:r>
      <w:bookmarkEnd w:id="178"/>
      <w:bookmarkEnd w:id="179"/>
    </w:p>
    <w:p>
      <w:pPr>
        <w:keepNext w:val="0"/>
        <w:keepLines w:val="0"/>
        <w:pageBreakBefore w:val="0"/>
        <w:widowControl w:val="0"/>
        <w:tabs>
          <w:tab w:val="left" w:pos="7665"/>
        </w:tabs>
        <w:kinsoku/>
        <w:wordWrap/>
        <w:overflowPunct/>
        <w:topLinePunct w:val="0"/>
        <w:autoSpaceDE/>
        <w:autoSpaceDN/>
        <w:bidi w:val="0"/>
        <w:adjustRightInd/>
        <w:snapToGrid/>
        <w:spacing w:line="360" w:lineRule="auto"/>
        <w:ind w:firstLine="480" w:firstLineChars="200"/>
        <w:textAlignment w:val="auto"/>
        <w:rPr>
          <w:rFonts w:ascii="宋体" w:hAnsi="宋体"/>
          <w:color w:val="auto"/>
          <w:sz w:val="24"/>
          <w:highlight w:val="none"/>
        </w:rPr>
      </w:pPr>
      <w:r>
        <w:rPr>
          <w:rFonts w:hint="eastAsia" w:ascii="宋体" w:hAnsi="宋体"/>
          <w:color w:val="auto"/>
          <w:sz w:val="24"/>
          <w:highlight w:val="none"/>
        </w:rPr>
        <w:t>（1）不得参加与自己有《中华人民共和国政府采购法实施条例》第九条规定的利害关系的政府采购项目的评标活动。发现参加了与自己有利害关系的评审活动，须主动提出回避，退出评审；</w:t>
      </w:r>
    </w:p>
    <w:p>
      <w:pPr>
        <w:keepNext w:val="0"/>
        <w:keepLines w:val="0"/>
        <w:pageBreakBefore w:val="0"/>
        <w:widowControl w:val="0"/>
        <w:tabs>
          <w:tab w:val="left" w:pos="7665"/>
        </w:tabs>
        <w:kinsoku/>
        <w:wordWrap/>
        <w:overflowPunct/>
        <w:topLinePunct w:val="0"/>
        <w:autoSpaceDE/>
        <w:autoSpaceDN/>
        <w:bidi w:val="0"/>
        <w:adjustRightInd/>
        <w:snapToGrid/>
        <w:spacing w:line="360" w:lineRule="auto"/>
        <w:ind w:firstLine="480" w:firstLineChars="200"/>
        <w:textAlignment w:val="auto"/>
        <w:rPr>
          <w:rFonts w:ascii="宋体" w:hAnsi="宋体"/>
          <w:color w:val="auto"/>
          <w:sz w:val="24"/>
          <w:highlight w:val="none"/>
        </w:rPr>
      </w:pPr>
      <w:r>
        <w:rPr>
          <w:rFonts w:hint="eastAsia" w:ascii="宋体" w:hAnsi="宋体"/>
          <w:color w:val="auto"/>
          <w:sz w:val="24"/>
          <w:highlight w:val="none"/>
        </w:rPr>
        <w:t>（2）评审前，应当将通讯工具或者相关电子设备交由采购代理机构统一保管；</w:t>
      </w:r>
    </w:p>
    <w:p>
      <w:pPr>
        <w:keepNext w:val="0"/>
        <w:keepLines w:val="0"/>
        <w:pageBreakBefore w:val="0"/>
        <w:widowControl w:val="0"/>
        <w:tabs>
          <w:tab w:val="left" w:pos="7665"/>
        </w:tabs>
        <w:kinsoku/>
        <w:wordWrap/>
        <w:overflowPunct/>
        <w:topLinePunct w:val="0"/>
        <w:autoSpaceDE/>
        <w:autoSpaceDN/>
        <w:bidi w:val="0"/>
        <w:adjustRightInd/>
        <w:snapToGrid/>
        <w:spacing w:line="360" w:lineRule="auto"/>
        <w:ind w:firstLine="480" w:firstLineChars="200"/>
        <w:textAlignment w:val="auto"/>
        <w:rPr>
          <w:rFonts w:ascii="宋体" w:hAnsi="宋体"/>
          <w:color w:val="auto"/>
          <w:sz w:val="24"/>
          <w:highlight w:val="none"/>
        </w:rPr>
      </w:pPr>
      <w:r>
        <w:rPr>
          <w:rFonts w:hint="eastAsia" w:ascii="宋体" w:hAnsi="宋体"/>
          <w:color w:val="auto"/>
          <w:sz w:val="24"/>
          <w:highlight w:val="none"/>
        </w:rPr>
        <w:t>（3）评审过程中，不得与外界联系，因发生不可预见情况，确实需要与外界联系的，应当在监督人员监督之下办理；</w:t>
      </w:r>
    </w:p>
    <w:p>
      <w:pPr>
        <w:keepNext w:val="0"/>
        <w:keepLines w:val="0"/>
        <w:pageBreakBefore w:val="0"/>
        <w:widowControl w:val="0"/>
        <w:tabs>
          <w:tab w:val="left" w:pos="7665"/>
        </w:tabs>
        <w:kinsoku/>
        <w:wordWrap/>
        <w:overflowPunct/>
        <w:topLinePunct w:val="0"/>
        <w:autoSpaceDE/>
        <w:autoSpaceDN/>
        <w:bidi w:val="0"/>
        <w:adjustRightInd/>
        <w:snapToGrid/>
        <w:spacing w:line="360" w:lineRule="auto"/>
        <w:ind w:firstLine="480" w:firstLineChars="200"/>
        <w:textAlignment w:val="auto"/>
        <w:rPr>
          <w:rFonts w:ascii="宋体" w:hAnsi="宋体"/>
          <w:color w:val="auto"/>
          <w:sz w:val="24"/>
          <w:highlight w:val="none"/>
        </w:rPr>
      </w:pPr>
      <w:r>
        <w:rPr>
          <w:rFonts w:hint="eastAsia" w:ascii="宋体" w:hAnsi="宋体"/>
          <w:color w:val="auto"/>
          <w:sz w:val="24"/>
          <w:highlight w:val="none"/>
        </w:rPr>
        <w:t>（4）评审过程中，不得发表影响评审公正的倾向性、歧视性言论，不得征询或者接受采购人的倾向性意见，不得明示或暗示供应商在澄清时表达与其响应文件原义不同的意见，不得以磋商文件没有规定的评审方法和标准作为评审的依据，不得修改或者细化评审程序、评审方法、评审因素和评审标准，不得违规撰写评审意见，不得拒绝对自己的评审意见签字确认；</w:t>
      </w:r>
    </w:p>
    <w:p>
      <w:pPr>
        <w:keepNext w:val="0"/>
        <w:keepLines w:val="0"/>
        <w:pageBreakBefore w:val="0"/>
        <w:widowControl w:val="0"/>
        <w:tabs>
          <w:tab w:val="left" w:pos="7665"/>
        </w:tabs>
        <w:kinsoku/>
        <w:wordWrap/>
        <w:overflowPunct/>
        <w:topLinePunct w:val="0"/>
        <w:autoSpaceDE/>
        <w:autoSpaceDN/>
        <w:bidi w:val="0"/>
        <w:adjustRightInd/>
        <w:snapToGrid/>
        <w:spacing w:line="360" w:lineRule="auto"/>
        <w:ind w:firstLine="480" w:firstLineChars="200"/>
        <w:textAlignment w:val="auto"/>
        <w:rPr>
          <w:rFonts w:ascii="宋体" w:hAnsi="宋体"/>
          <w:color w:val="auto"/>
          <w:sz w:val="24"/>
          <w:highlight w:val="none"/>
        </w:rPr>
      </w:pPr>
      <w:r>
        <w:rPr>
          <w:rFonts w:hint="eastAsia" w:ascii="宋体" w:hAnsi="宋体"/>
          <w:color w:val="auto"/>
          <w:sz w:val="24"/>
          <w:highlight w:val="none"/>
        </w:rPr>
        <w:t>（5）在评审过程中和评审结束后，不得记录、复制或带走任何评审资料，不得向外界透露评审内容；</w:t>
      </w:r>
    </w:p>
    <w:p>
      <w:pPr>
        <w:keepNext w:val="0"/>
        <w:keepLines w:val="0"/>
        <w:pageBreakBefore w:val="0"/>
        <w:widowControl w:val="0"/>
        <w:tabs>
          <w:tab w:val="left" w:pos="7665"/>
        </w:tabs>
        <w:kinsoku/>
        <w:wordWrap/>
        <w:overflowPunct/>
        <w:topLinePunct w:val="0"/>
        <w:autoSpaceDE/>
        <w:autoSpaceDN/>
        <w:bidi w:val="0"/>
        <w:adjustRightInd/>
        <w:snapToGrid/>
        <w:spacing w:line="360" w:lineRule="auto"/>
        <w:ind w:firstLine="480" w:firstLineChars="200"/>
        <w:textAlignment w:val="auto"/>
        <w:rPr>
          <w:rFonts w:ascii="宋体" w:hAnsi="宋体"/>
          <w:color w:val="auto"/>
          <w:sz w:val="24"/>
          <w:highlight w:val="none"/>
        </w:rPr>
      </w:pPr>
      <w:r>
        <w:rPr>
          <w:rFonts w:hint="eastAsia" w:ascii="宋体" w:hAnsi="宋体"/>
          <w:color w:val="auto"/>
          <w:sz w:val="24"/>
          <w:highlight w:val="none"/>
        </w:rPr>
        <w:t>（6）评审现场服从采购代理机构工作人员的管理，接受现场监督人员的合法监督；</w:t>
      </w:r>
    </w:p>
    <w:p>
      <w:pPr>
        <w:keepNext w:val="0"/>
        <w:keepLines w:val="0"/>
        <w:pageBreakBefore w:val="0"/>
        <w:widowControl w:val="0"/>
        <w:tabs>
          <w:tab w:val="left" w:pos="7665"/>
        </w:tabs>
        <w:kinsoku/>
        <w:wordWrap/>
        <w:overflowPunct/>
        <w:topLinePunct w:val="0"/>
        <w:autoSpaceDE/>
        <w:autoSpaceDN/>
        <w:bidi w:val="0"/>
        <w:adjustRightInd/>
        <w:snapToGrid/>
        <w:spacing w:line="360" w:lineRule="auto"/>
        <w:ind w:firstLine="480" w:firstLineChars="200"/>
        <w:textAlignment w:val="auto"/>
        <w:rPr>
          <w:rFonts w:ascii="宋体" w:hAnsi="宋体"/>
          <w:color w:val="auto"/>
          <w:sz w:val="24"/>
          <w:highlight w:val="none"/>
        </w:rPr>
      </w:pPr>
      <w:r>
        <w:rPr>
          <w:rFonts w:hint="eastAsia" w:ascii="宋体" w:hAnsi="宋体"/>
          <w:color w:val="auto"/>
          <w:sz w:val="24"/>
          <w:highlight w:val="none"/>
        </w:rPr>
        <w:t>（7）遵守有关廉洁自律规定，不得私下接触供应商，不得收受供应商及有关业务单位和个人的财物或好处，不得接受采购代理机构的请托。</w:t>
      </w:r>
    </w:p>
    <w:p>
      <w:pPr>
        <w:pStyle w:val="3"/>
        <w:spacing w:before="0" w:after="0" w:line="360" w:lineRule="auto"/>
        <w:jc w:val="center"/>
        <w:rPr>
          <w:color w:val="auto"/>
          <w:highlight w:val="none"/>
        </w:rPr>
      </w:pPr>
      <w:r>
        <w:rPr>
          <w:rFonts w:hint="eastAsia"/>
          <w:color w:val="auto"/>
          <w:highlight w:val="none"/>
        </w:rPr>
        <w:br w:type="page"/>
      </w:r>
      <w:bookmarkStart w:id="180" w:name="_Toc14405_WPSOffice_Level1"/>
      <w:bookmarkStart w:id="181" w:name="_Toc28556_WPSOffice_Level1"/>
      <w:bookmarkStart w:id="182" w:name="_Toc4735"/>
      <w:r>
        <w:rPr>
          <w:rFonts w:hint="eastAsia"/>
          <w:color w:val="auto"/>
          <w:highlight w:val="none"/>
        </w:rPr>
        <w:t>第九章  采购合同（草案）</w:t>
      </w:r>
      <w:bookmarkEnd w:id="113"/>
      <w:bookmarkEnd w:id="114"/>
      <w:bookmarkEnd w:id="115"/>
      <w:bookmarkEnd w:id="180"/>
      <w:bookmarkEnd w:id="181"/>
      <w:bookmarkEnd w:id="182"/>
    </w:p>
    <w:p>
      <w:pPr>
        <w:spacing w:line="400" w:lineRule="exact"/>
        <w:rPr>
          <w:rFonts w:ascii="宋体" w:hAnsi="宋体"/>
          <w:color w:val="auto"/>
          <w:highlight w:val="none"/>
        </w:rPr>
      </w:pPr>
      <w:bookmarkStart w:id="183" w:name="_Hlt101846155"/>
      <w:bookmarkEnd w:id="183"/>
    </w:p>
    <w:p>
      <w:pPr>
        <w:spacing w:line="360" w:lineRule="auto"/>
        <w:ind w:firstLine="480" w:firstLineChars="200"/>
        <w:rPr>
          <w:rFonts w:ascii="宋体" w:hAnsi="宋体" w:cs="宋体"/>
          <w:sz w:val="24"/>
          <w:highlight w:val="none"/>
        </w:rPr>
      </w:pPr>
      <w:r>
        <w:rPr>
          <w:rFonts w:hint="eastAsia" w:ascii="宋体" w:hAnsi="宋体" w:cs="宋体"/>
          <w:sz w:val="24"/>
          <w:highlight w:val="none"/>
        </w:rPr>
        <w:t>合同编号：XXXX。</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签订地点：XXXX。</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签订时间：XXXX年XX月XX日。</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采购人（甲方）：</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供应商（乙方）：</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依据《中华人民共和国合同法》、《中华人民共和国政府采购法》与项目行业有关的法律法规，以及XXXX项目（项目编号：XXXX）的《磋商文件》，乙方的《响应文件》及《成交通知书》，甲、乙双方同意签订本合同。详细技术说明及其他有关合同项目的特定信息由合同附件予以说明，合同附件及本项目的《</w:t>
      </w:r>
      <w:r>
        <w:rPr>
          <w:rFonts w:hint="default" w:ascii="宋体" w:hAnsi="宋体" w:cs="宋体"/>
          <w:sz w:val="24"/>
          <w:highlight w:val="none"/>
        </w:rPr>
        <w:t>磋商</w:t>
      </w:r>
      <w:r>
        <w:rPr>
          <w:rFonts w:hint="eastAsia" w:ascii="宋体" w:hAnsi="宋体" w:cs="宋体"/>
          <w:sz w:val="24"/>
          <w:highlight w:val="none"/>
        </w:rPr>
        <w:t xml:space="preserve">文件》、《响应文件》、《成交通知书》等均为本合同的组成部分。 </w:t>
      </w:r>
    </w:p>
    <w:p>
      <w:pPr>
        <w:numPr>
          <w:ilvl w:val="0"/>
          <w:numId w:val="7"/>
        </w:numPr>
        <w:spacing w:line="360" w:lineRule="auto"/>
        <w:rPr>
          <w:rFonts w:ascii="宋体" w:hAnsi="宋体" w:cs="宋体"/>
          <w:b/>
          <w:sz w:val="24"/>
          <w:highlight w:val="none"/>
        </w:rPr>
      </w:pPr>
      <w:bookmarkStart w:id="184" w:name="_Toc12353_WPSOffice_Level2"/>
      <w:bookmarkStart w:id="185" w:name="_Toc24556_WPSOffice_Level2"/>
      <w:r>
        <w:rPr>
          <w:rFonts w:hint="eastAsia" w:ascii="宋体" w:hAnsi="宋体" w:cs="宋体"/>
          <w:b/>
          <w:sz w:val="24"/>
          <w:highlight w:val="none"/>
        </w:rPr>
        <w:t>项目基本情况</w:t>
      </w:r>
      <w:bookmarkEnd w:id="184"/>
      <w:bookmarkEnd w:id="185"/>
    </w:p>
    <w:p>
      <w:pPr>
        <w:numPr>
          <w:ilvl w:val="0"/>
          <w:numId w:val="7"/>
        </w:numPr>
        <w:spacing w:line="360" w:lineRule="auto"/>
        <w:rPr>
          <w:rFonts w:ascii="宋体" w:hAnsi="宋体" w:cs="宋体"/>
          <w:sz w:val="24"/>
          <w:highlight w:val="none"/>
        </w:rPr>
      </w:pPr>
      <w:bookmarkStart w:id="186" w:name="_Toc23965_WPSOffice_Level2"/>
      <w:bookmarkStart w:id="187" w:name="_Toc13964_WPSOffice_Level2"/>
      <w:r>
        <w:rPr>
          <w:rFonts w:hint="eastAsia" w:ascii="宋体" w:hAnsi="宋体" w:cs="宋体"/>
          <w:b/>
          <w:sz w:val="24"/>
          <w:highlight w:val="none"/>
        </w:rPr>
        <w:t>合同期限</w:t>
      </w:r>
      <w:bookmarkEnd w:id="186"/>
      <w:bookmarkEnd w:id="187"/>
    </w:p>
    <w:p>
      <w:pPr>
        <w:numPr>
          <w:ilvl w:val="0"/>
          <w:numId w:val="7"/>
        </w:numPr>
        <w:spacing w:line="360" w:lineRule="auto"/>
        <w:rPr>
          <w:rFonts w:ascii="宋体" w:hAnsi="宋体" w:cs="宋体"/>
          <w:b/>
          <w:sz w:val="24"/>
          <w:highlight w:val="none"/>
        </w:rPr>
      </w:pPr>
      <w:bookmarkStart w:id="188" w:name="_Toc23597_WPSOffice_Level2"/>
      <w:bookmarkStart w:id="189" w:name="_Toc11144_WPSOffice_Level2"/>
      <w:bookmarkStart w:id="190" w:name="_Toc212019594"/>
      <w:bookmarkStart w:id="191" w:name="_Toc239568418"/>
      <w:bookmarkStart w:id="192" w:name="_Toc283019214"/>
      <w:bookmarkStart w:id="193" w:name="_Toc225244852"/>
      <w:bookmarkStart w:id="194" w:name="_Toc282696226"/>
      <w:bookmarkStart w:id="195" w:name="_Toc238984975"/>
      <w:bookmarkStart w:id="196" w:name="_Toc237145406"/>
      <w:bookmarkStart w:id="197" w:name="_Toc247334841"/>
      <w:bookmarkStart w:id="198" w:name="_Toc211854449"/>
      <w:bookmarkStart w:id="199" w:name="_Toc241833903"/>
      <w:bookmarkStart w:id="200" w:name="_Toc251768862"/>
      <w:bookmarkStart w:id="201" w:name="_Toc185395249"/>
      <w:bookmarkStart w:id="202" w:name="_Toc232492928"/>
      <w:bookmarkStart w:id="203" w:name="_Toc286993786"/>
      <w:bookmarkStart w:id="204" w:name="_Toc239233914"/>
      <w:bookmarkStart w:id="205" w:name="_Toc225670751"/>
      <w:bookmarkStart w:id="206" w:name="_Toc211911348"/>
      <w:bookmarkStart w:id="207" w:name="_Toc225654644"/>
      <w:r>
        <w:rPr>
          <w:rFonts w:hint="eastAsia" w:ascii="宋体" w:hAnsi="宋体" w:cs="宋体"/>
          <w:b/>
          <w:sz w:val="24"/>
          <w:highlight w:val="none"/>
        </w:rPr>
        <w:t>服务内容与质量标准</w:t>
      </w:r>
      <w:bookmarkEnd w:id="188"/>
      <w:bookmarkEnd w:id="189"/>
    </w:p>
    <w:p>
      <w:pPr>
        <w:spacing w:line="360" w:lineRule="auto"/>
        <w:ind w:left="567"/>
        <w:rPr>
          <w:rFonts w:ascii="宋体" w:hAnsi="宋体" w:cs="宋体"/>
          <w:sz w:val="24"/>
          <w:highlight w:val="none"/>
        </w:rPr>
      </w:pPr>
      <w:r>
        <w:rPr>
          <w:rFonts w:hint="eastAsia" w:ascii="宋体" w:hAnsi="宋体" w:cs="宋体"/>
          <w:sz w:val="24"/>
          <w:highlight w:val="none"/>
        </w:rPr>
        <w:t>1、XXXX；</w:t>
      </w:r>
    </w:p>
    <w:p>
      <w:pPr>
        <w:spacing w:line="360" w:lineRule="auto"/>
        <w:ind w:left="567"/>
        <w:rPr>
          <w:rFonts w:ascii="宋体" w:hAnsi="宋体" w:cs="宋体"/>
          <w:sz w:val="24"/>
          <w:highlight w:val="none"/>
        </w:rPr>
      </w:pPr>
      <w:r>
        <w:rPr>
          <w:rFonts w:hint="eastAsia" w:ascii="宋体" w:hAnsi="宋体" w:cs="宋体"/>
          <w:sz w:val="24"/>
          <w:highlight w:val="none"/>
        </w:rPr>
        <w:t>2、XXXX；</w:t>
      </w:r>
    </w:p>
    <w:p>
      <w:pPr>
        <w:spacing w:line="360" w:lineRule="auto"/>
        <w:ind w:left="567"/>
        <w:rPr>
          <w:rFonts w:ascii="宋体" w:hAnsi="宋体" w:cs="宋体"/>
          <w:sz w:val="24"/>
          <w:highlight w:val="none"/>
        </w:rPr>
      </w:pPr>
      <w:r>
        <w:rPr>
          <w:rFonts w:hint="eastAsia" w:ascii="宋体" w:hAnsi="宋体" w:cs="宋体"/>
          <w:sz w:val="24"/>
          <w:highlight w:val="none"/>
        </w:rPr>
        <w:t>3、XXXX．</w:t>
      </w:r>
    </w:p>
    <w:p>
      <w:pPr>
        <w:numPr>
          <w:ilvl w:val="0"/>
          <w:numId w:val="7"/>
        </w:numPr>
        <w:spacing w:line="360" w:lineRule="auto"/>
        <w:rPr>
          <w:rFonts w:ascii="宋体" w:hAnsi="宋体" w:cs="宋体"/>
          <w:b/>
          <w:sz w:val="24"/>
          <w:highlight w:val="none"/>
        </w:rPr>
      </w:pPr>
      <w:bookmarkStart w:id="208" w:name="_Toc11083_WPSOffice_Level2"/>
      <w:bookmarkStart w:id="209" w:name="_Toc18159_WPSOffice_Level2"/>
      <w:r>
        <w:rPr>
          <w:rFonts w:hint="eastAsia" w:ascii="宋体" w:hAnsi="宋体" w:cs="宋体"/>
          <w:b/>
          <w:sz w:val="24"/>
          <w:highlight w:val="none"/>
        </w:rPr>
        <w:t>服务费用及支付方式</w:t>
      </w:r>
      <w:bookmarkEnd w:id="208"/>
      <w:bookmarkEnd w:id="209"/>
    </w:p>
    <w:p>
      <w:pPr>
        <w:numPr>
          <w:ilvl w:val="0"/>
          <w:numId w:val="8"/>
        </w:numPr>
        <w:spacing w:line="360" w:lineRule="auto"/>
        <w:ind w:left="0" w:firstLine="567"/>
        <w:rPr>
          <w:rFonts w:ascii="宋体" w:hAnsi="宋体" w:cs="宋体"/>
          <w:b/>
          <w:sz w:val="24"/>
          <w:highlight w:val="none"/>
        </w:rPr>
      </w:pPr>
      <w:r>
        <w:rPr>
          <w:rFonts w:hint="eastAsia" w:ascii="宋体" w:hAnsi="宋体" w:cs="宋体"/>
          <w:b/>
          <w:sz w:val="24"/>
          <w:highlight w:val="none"/>
        </w:rPr>
        <w:t>本项目服务费用由以下组成：</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1、XX万元；</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2、XX万元；</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3、XX万元。</w:t>
      </w:r>
    </w:p>
    <w:p>
      <w:pPr>
        <w:numPr>
          <w:ilvl w:val="0"/>
          <w:numId w:val="8"/>
        </w:numPr>
        <w:tabs>
          <w:tab w:val="left" w:pos="780"/>
        </w:tabs>
        <w:spacing w:line="360" w:lineRule="auto"/>
        <w:ind w:left="0" w:firstLine="567"/>
        <w:rPr>
          <w:rFonts w:ascii="宋体" w:hAnsi="宋体" w:cs="宋体"/>
          <w:b/>
          <w:sz w:val="24"/>
          <w:highlight w:val="none"/>
        </w:rPr>
      </w:pPr>
      <w:r>
        <w:rPr>
          <w:rFonts w:hint="eastAsia" w:ascii="宋体" w:hAnsi="宋体" w:cs="宋体"/>
          <w:b/>
          <w:sz w:val="24"/>
          <w:highlight w:val="none"/>
        </w:rPr>
        <w:t xml:space="preserve">服务费支付方式： </w:t>
      </w:r>
    </w:p>
    <w:p>
      <w:pPr>
        <w:numPr>
          <w:ilvl w:val="0"/>
          <w:numId w:val="7"/>
        </w:numPr>
        <w:spacing w:line="360" w:lineRule="auto"/>
        <w:rPr>
          <w:rFonts w:ascii="宋体" w:hAnsi="宋体" w:cs="宋体"/>
          <w:b/>
          <w:sz w:val="24"/>
          <w:highlight w:val="none"/>
        </w:rPr>
      </w:pPr>
      <w:bookmarkStart w:id="210" w:name="_Toc4051_WPSOffice_Level2"/>
      <w:bookmarkStart w:id="211" w:name="_Toc2167_WPSOffice_Level2"/>
      <w:r>
        <w:rPr>
          <w:rFonts w:hint="eastAsia" w:ascii="宋体" w:hAnsi="宋体" w:cs="宋体"/>
          <w:b/>
          <w:sz w:val="24"/>
          <w:highlight w:val="none"/>
        </w:rPr>
        <w:t>知识产权</w:t>
      </w:r>
      <w:bookmarkEnd w:id="210"/>
      <w:bookmarkEnd w:id="211"/>
    </w:p>
    <w:p>
      <w:pPr>
        <w:tabs>
          <w:tab w:val="left" w:pos="1440"/>
        </w:tabs>
        <w:spacing w:line="360" w:lineRule="auto"/>
        <w:ind w:firstLine="480" w:firstLineChars="200"/>
        <w:rPr>
          <w:rFonts w:ascii="宋体" w:hAnsi="宋体" w:cs="宋体"/>
          <w:sz w:val="24"/>
          <w:highlight w:val="none"/>
        </w:rPr>
      </w:pPr>
      <w:r>
        <w:rPr>
          <w:rFonts w:hint="eastAsia" w:ascii="宋体" w:hAnsi="宋体" w:cs="宋体"/>
          <w:sz w:val="24"/>
          <w:highlight w:val="none"/>
        </w:rPr>
        <w:t>乙方应保证所提供的服务或其任何一部分均不会侵犯任何第三方的专利权、商标权或著作权。</w:t>
      </w:r>
    </w:p>
    <w:p>
      <w:pPr>
        <w:numPr>
          <w:ilvl w:val="0"/>
          <w:numId w:val="7"/>
        </w:numPr>
        <w:spacing w:line="360" w:lineRule="auto"/>
        <w:rPr>
          <w:rFonts w:ascii="宋体" w:hAnsi="宋体" w:cs="宋体"/>
          <w:b/>
          <w:sz w:val="24"/>
          <w:highlight w:val="none"/>
        </w:rPr>
      </w:pPr>
      <w:bookmarkStart w:id="212" w:name="_Toc1356_WPSOffice_Level2"/>
      <w:bookmarkStart w:id="213" w:name="_Toc20624_WPSOffice_Level2"/>
      <w:r>
        <w:rPr>
          <w:rFonts w:hint="eastAsia" w:ascii="宋体" w:hAnsi="宋体" w:cs="宋体"/>
          <w:b/>
          <w:sz w:val="24"/>
          <w:highlight w:val="none"/>
        </w:rPr>
        <w:t>无产权瑕疵条款</w:t>
      </w:r>
      <w:bookmarkEnd w:id="212"/>
      <w:bookmarkEnd w:id="213"/>
    </w:p>
    <w:p>
      <w:pPr>
        <w:tabs>
          <w:tab w:val="left" w:pos="1440"/>
        </w:tabs>
        <w:spacing w:line="360" w:lineRule="auto"/>
        <w:ind w:firstLine="480" w:firstLineChars="200"/>
        <w:rPr>
          <w:rFonts w:ascii="宋体" w:hAnsi="宋体" w:cs="宋体"/>
          <w:sz w:val="24"/>
          <w:highlight w:val="none"/>
        </w:rPr>
      </w:pPr>
      <w:r>
        <w:rPr>
          <w:rFonts w:hint="eastAsia" w:ascii="宋体" w:hAnsi="宋体" w:cs="宋体"/>
          <w:sz w:val="24"/>
          <w:highlight w:val="none"/>
        </w:rPr>
        <w:t>乙方保证所提供的服务的所有权完全属于乙方且无任何抵押、查封等产权瑕疵。如有产权瑕疵的，视为乙方违约。乙方应负担由此而产生的一切损失。</w:t>
      </w:r>
    </w:p>
    <w:p>
      <w:pPr>
        <w:numPr>
          <w:ilvl w:val="0"/>
          <w:numId w:val="7"/>
        </w:numPr>
        <w:spacing w:line="360" w:lineRule="auto"/>
        <w:rPr>
          <w:rFonts w:ascii="宋体" w:hAnsi="宋体" w:cs="宋体"/>
          <w:b/>
          <w:sz w:val="24"/>
          <w:highlight w:val="none"/>
        </w:rPr>
      </w:pPr>
      <w:bookmarkStart w:id="214" w:name="_Toc4136_WPSOffice_Level2"/>
      <w:bookmarkStart w:id="215" w:name="_Toc23515_WPSOffice_Level2"/>
      <w:r>
        <w:rPr>
          <w:rFonts w:hint="eastAsia" w:ascii="宋体" w:hAnsi="宋体" w:cs="宋体"/>
          <w:b/>
          <w:sz w:val="24"/>
          <w:highlight w:val="none"/>
        </w:rPr>
        <w:t>履约保证金</w:t>
      </w:r>
      <w:bookmarkEnd w:id="214"/>
      <w:bookmarkEnd w:id="215"/>
    </w:p>
    <w:p>
      <w:pPr>
        <w:adjustRightInd w:val="0"/>
        <w:spacing w:line="360" w:lineRule="auto"/>
        <w:ind w:firstLine="480" w:firstLineChars="200"/>
        <w:jc w:val="left"/>
        <w:textAlignment w:val="baseline"/>
        <w:rPr>
          <w:rFonts w:ascii="宋体" w:hAnsi="宋体" w:cs="宋体"/>
          <w:bCs/>
          <w:sz w:val="24"/>
          <w:highlight w:val="none"/>
        </w:rPr>
      </w:pPr>
      <w:r>
        <w:rPr>
          <w:rFonts w:hint="eastAsia" w:ascii="宋体" w:hAnsi="宋体" w:cs="宋体"/>
          <w:bCs/>
          <w:sz w:val="24"/>
          <w:highlight w:val="none"/>
        </w:rPr>
        <w:t>1、乙方交纳人民币</w:t>
      </w:r>
      <w:r>
        <w:rPr>
          <w:rFonts w:hint="eastAsia" w:ascii="宋体" w:hAnsi="宋体" w:cs="宋体"/>
          <w:sz w:val="24"/>
          <w:highlight w:val="none"/>
        </w:rPr>
        <w:t>XX</w:t>
      </w:r>
      <w:r>
        <w:rPr>
          <w:rFonts w:hint="eastAsia" w:ascii="宋体" w:hAnsi="宋体" w:cs="宋体"/>
          <w:bCs/>
          <w:sz w:val="24"/>
          <w:highlight w:val="none"/>
        </w:rPr>
        <w:t>元作为本合同的履约保证金。</w:t>
      </w:r>
    </w:p>
    <w:p>
      <w:pPr>
        <w:adjustRightInd w:val="0"/>
        <w:spacing w:line="360" w:lineRule="auto"/>
        <w:ind w:firstLine="480" w:firstLineChars="200"/>
        <w:jc w:val="left"/>
        <w:textAlignment w:val="baseline"/>
        <w:rPr>
          <w:rFonts w:ascii="宋体" w:hAnsi="宋体" w:cs="宋体"/>
          <w:bCs/>
          <w:sz w:val="24"/>
          <w:highlight w:val="none"/>
        </w:rPr>
      </w:pPr>
      <w:r>
        <w:rPr>
          <w:rFonts w:hint="eastAsia" w:ascii="宋体" w:hAnsi="宋体" w:cs="宋体"/>
          <w:bCs/>
          <w:sz w:val="24"/>
          <w:highlight w:val="none"/>
        </w:rPr>
        <w:t>2、履约保证金作为违约金的一部分及用于补偿甲方因乙方不能履行合同义务而蒙受的损失。</w:t>
      </w:r>
    </w:p>
    <w:p>
      <w:pPr>
        <w:numPr>
          <w:ilvl w:val="0"/>
          <w:numId w:val="7"/>
        </w:numPr>
        <w:spacing w:line="360" w:lineRule="auto"/>
        <w:rPr>
          <w:rFonts w:ascii="宋体" w:hAnsi="宋体" w:cs="宋体"/>
          <w:b/>
          <w:sz w:val="24"/>
          <w:highlight w:val="none"/>
        </w:rPr>
      </w:pPr>
      <w:bookmarkStart w:id="216" w:name="_Toc18407_WPSOffice_Level2"/>
      <w:bookmarkStart w:id="217" w:name="_Toc23216_WPSOffice_Level2"/>
      <w:r>
        <w:rPr>
          <w:rFonts w:hint="eastAsia" w:ascii="宋体" w:hAnsi="宋体" w:cs="宋体"/>
          <w:b/>
          <w:sz w:val="24"/>
          <w:highlight w:val="none"/>
        </w:rPr>
        <w:t>甲方的权利和义务</w:t>
      </w:r>
      <w:bookmarkEnd w:id="216"/>
      <w:bookmarkEnd w:id="217"/>
    </w:p>
    <w:p>
      <w:pPr>
        <w:adjustRightInd w:val="0"/>
        <w:spacing w:line="360" w:lineRule="auto"/>
        <w:ind w:firstLine="480" w:firstLineChars="200"/>
        <w:jc w:val="left"/>
        <w:textAlignment w:val="baseline"/>
        <w:rPr>
          <w:rFonts w:ascii="宋体" w:hAnsi="宋体" w:cs="宋体"/>
          <w:bCs/>
          <w:sz w:val="24"/>
          <w:highlight w:val="none"/>
        </w:rPr>
      </w:pPr>
      <w:r>
        <w:rPr>
          <w:rFonts w:hint="eastAsia" w:ascii="宋体" w:hAnsi="宋体" w:cs="宋体"/>
          <w:bCs/>
          <w:sz w:val="24"/>
          <w:highlight w:val="none"/>
        </w:rPr>
        <w:t>1、甲方有权对合同规定范围内乙方的服务行为进行监督和检查，拥有监管权。有权定期核对乙方提供服务所配备的人员数量。对甲方认为不合理的部分有权下达整改通知书，并要求乙方限期整改。</w:t>
      </w:r>
    </w:p>
    <w:p>
      <w:pPr>
        <w:adjustRightInd w:val="0"/>
        <w:spacing w:line="360" w:lineRule="auto"/>
        <w:ind w:firstLine="480" w:firstLineChars="200"/>
        <w:jc w:val="left"/>
        <w:textAlignment w:val="baseline"/>
        <w:rPr>
          <w:rFonts w:ascii="宋体" w:hAnsi="宋体" w:cs="宋体"/>
          <w:bCs/>
          <w:sz w:val="24"/>
          <w:highlight w:val="none"/>
        </w:rPr>
      </w:pPr>
      <w:r>
        <w:rPr>
          <w:rFonts w:hint="eastAsia" w:ascii="宋体" w:hAnsi="宋体" w:cs="宋体"/>
          <w:bCs/>
          <w:sz w:val="24"/>
          <w:highlight w:val="none"/>
        </w:rPr>
        <w:t>2、甲方有权依据双方签订的考评办法对乙方提供的服务进行定期考评。当考评结果未达到标准时，有权依据考评办法约定的数额扣除履约保证金。</w:t>
      </w:r>
    </w:p>
    <w:p>
      <w:pPr>
        <w:adjustRightInd w:val="0"/>
        <w:spacing w:line="360" w:lineRule="auto"/>
        <w:ind w:firstLine="480" w:firstLineChars="200"/>
        <w:jc w:val="left"/>
        <w:textAlignment w:val="baseline"/>
        <w:rPr>
          <w:rFonts w:ascii="宋体" w:hAnsi="宋体" w:cs="宋体"/>
          <w:bCs/>
          <w:sz w:val="24"/>
          <w:highlight w:val="none"/>
        </w:rPr>
      </w:pPr>
      <w:r>
        <w:rPr>
          <w:rFonts w:hint="eastAsia" w:ascii="宋体" w:hAnsi="宋体" w:cs="宋体"/>
          <w:bCs/>
          <w:sz w:val="24"/>
          <w:highlight w:val="none"/>
        </w:rPr>
        <w:t>3、负责检查监督乙方管理工作的实施及制度的执行情况。</w:t>
      </w:r>
    </w:p>
    <w:p>
      <w:pPr>
        <w:adjustRightInd w:val="0"/>
        <w:spacing w:line="360" w:lineRule="auto"/>
        <w:ind w:firstLine="480" w:firstLineChars="200"/>
        <w:jc w:val="left"/>
        <w:textAlignment w:val="baseline"/>
        <w:rPr>
          <w:rFonts w:ascii="宋体" w:hAnsi="宋体" w:cs="宋体"/>
          <w:bCs/>
          <w:sz w:val="24"/>
          <w:highlight w:val="none"/>
        </w:rPr>
      </w:pPr>
      <w:r>
        <w:rPr>
          <w:rFonts w:hint="eastAsia" w:ascii="宋体" w:hAnsi="宋体" w:cs="宋体"/>
          <w:bCs/>
          <w:sz w:val="24"/>
          <w:highlight w:val="none"/>
        </w:rPr>
        <w:t>4、根据本合同规定，按时向乙方支付应付服务费用。</w:t>
      </w:r>
    </w:p>
    <w:p>
      <w:pPr>
        <w:adjustRightInd w:val="0"/>
        <w:spacing w:line="360" w:lineRule="auto"/>
        <w:ind w:firstLine="480" w:firstLineChars="200"/>
        <w:jc w:val="left"/>
        <w:textAlignment w:val="baseline"/>
        <w:rPr>
          <w:rFonts w:ascii="宋体" w:hAnsi="宋体" w:cs="宋体"/>
          <w:bCs/>
          <w:sz w:val="24"/>
          <w:highlight w:val="none"/>
        </w:rPr>
      </w:pPr>
      <w:r>
        <w:rPr>
          <w:rFonts w:hint="eastAsia" w:ascii="宋体" w:hAnsi="宋体" w:cs="宋体"/>
          <w:bCs/>
          <w:sz w:val="24"/>
          <w:highlight w:val="none"/>
        </w:rPr>
        <w:t>5、国家法律、法规所规定由甲方承担的其它责任。</w:t>
      </w:r>
    </w:p>
    <w:p>
      <w:pPr>
        <w:numPr>
          <w:ilvl w:val="0"/>
          <w:numId w:val="7"/>
        </w:numPr>
        <w:spacing w:line="360" w:lineRule="auto"/>
        <w:rPr>
          <w:rFonts w:ascii="宋体" w:hAnsi="宋体" w:cs="宋体"/>
          <w:b/>
          <w:sz w:val="24"/>
          <w:highlight w:val="none"/>
        </w:rPr>
      </w:pPr>
      <w:bookmarkStart w:id="218" w:name="_Toc28651_WPSOffice_Level2"/>
      <w:bookmarkStart w:id="219" w:name="_Toc29426_WPSOffice_Level2"/>
      <w:r>
        <w:rPr>
          <w:rFonts w:hint="eastAsia" w:ascii="宋体" w:hAnsi="宋体" w:cs="宋体"/>
          <w:b/>
          <w:sz w:val="24"/>
          <w:highlight w:val="none"/>
        </w:rPr>
        <w:t>乙方的权利和义务</w:t>
      </w:r>
      <w:bookmarkEnd w:id="218"/>
      <w:bookmarkEnd w:id="219"/>
    </w:p>
    <w:p>
      <w:pPr>
        <w:adjustRightInd w:val="0"/>
        <w:spacing w:line="360" w:lineRule="auto"/>
        <w:ind w:firstLine="480" w:firstLineChars="200"/>
        <w:jc w:val="left"/>
        <w:textAlignment w:val="baseline"/>
        <w:rPr>
          <w:rFonts w:ascii="宋体" w:hAnsi="宋体" w:cs="宋体"/>
          <w:bCs/>
          <w:sz w:val="24"/>
          <w:highlight w:val="none"/>
        </w:rPr>
      </w:pPr>
      <w:r>
        <w:rPr>
          <w:rFonts w:hint="eastAsia" w:ascii="宋体" w:hAnsi="宋体" w:cs="宋体"/>
          <w:bCs/>
          <w:sz w:val="24"/>
          <w:highlight w:val="none"/>
        </w:rPr>
        <w:t>1、对本合同规定的委托服务范围内的项目享有管理权及服务义务。</w:t>
      </w:r>
    </w:p>
    <w:p>
      <w:pPr>
        <w:adjustRightInd w:val="0"/>
        <w:spacing w:line="360" w:lineRule="auto"/>
        <w:ind w:firstLine="480" w:firstLineChars="200"/>
        <w:jc w:val="left"/>
        <w:textAlignment w:val="baseline"/>
        <w:rPr>
          <w:rFonts w:ascii="宋体" w:hAnsi="宋体" w:cs="宋体"/>
          <w:bCs/>
          <w:sz w:val="24"/>
          <w:highlight w:val="none"/>
        </w:rPr>
      </w:pPr>
      <w:r>
        <w:rPr>
          <w:rFonts w:hint="eastAsia" w:ascii="宋体" w:hAnsi="宋体" w:cs="宋体"/>
          <w:bCs/>
          <w:sz w:val="24"/>
          <w:highlight w:val="none"/>
        </w:rPr>
        <w:t>2、根据本合同的规定向甲方收取相关服务费用，并有权在本项目管理范围内管理及合理使用。</w:t>
      </w:r>
    </w:p>
    <w:p>
      <w:pPr>
        <w:adjustRightInd w:val="0"/>
        <w:spacing w:line="360" w:lineRule="auto"/>
        <w:ind w:firstLine="480" w:firstLineChars="200"/>
        <w:jc w:val="left"/>
        <w:textAlignment w:val="baseline"/>
        <w:rPr>
          <w:rFonts w:ascii="宋体" w:hAnsi="宋体" w:cs="宋体"/>
          <w:sz w:val="24"/>
          <w:highlight w:val="none"/>
        </w:rPr>
      </w:pPr>
      <w:r>
        <w:rPr>
          <w:rFonts w:hint="eastAsia" w:ascii="宋体" w:hAnsi="宋体" w:cs="宋体"/>
          <w:sz w:val="24"/>
          <w:highlight w:val="none"/>
        </w:rPr>
        <w:t>3、及时向甲方通告本项目服务范围内有关服务的重大事项，及时配合处理投诉。</w:t>
      </w:r>
    </w:p>
    <w:p>
      <w:pPr>
        <w:adjustRightInd w:val="0"/>
        <w:spacing w:line="360" w:lineRule="auto"/>
        <w:ind w:firstLine="480" w:firstLineChars="200"/>
        <w:jc w:val="left"/>
        <w:textAlignment w:val="baseline"/>
        <w:rPr>
          <w:rFonts w:ascii="宋体" w:hAnsi="宋体" w:cs="宋体"/>
          <w:bCs/>
          <w:sz w:val="24"/>
          <w:highlight w:val="none"/>
        </w:rPr>
      </w:pPr>
      <w:r>
        <w:rPr>
          <w:rFonts w:hint="eastAsia" w:ascii="宋体" w:hAnsi="宋体" w:cs="宋体"/>
          <w:sz w:val="24"/>
          <w:highlight w:val="none"/>
        </w:rPr>
        <w:t>4、</w:t>
      </w:r>
      <w:r>
        <w:rPr>
          <w:rFonts w:hint="eastAsia" w:ascii="宋体" w:hAnsi="宋体" w:cs="宋体"/>
          <w:bCs/>
          <w:sz w:val="24"/>
          <w:highlight w:val="none"/>
        </w:rPr>
        <w:t>接受项目行业管理部门及政府有关部门的指导，接受甲方的监督。</w:t>
      </w:r>
    </w:p>
    <w:p>
      <w:pPr>
        <w:adjustRightInd w:val="0"/>
        <w:spacing w:line="360" w:lineRule="auto"/>
        <w:ind w:firstLine="480" w:firstLineChars="200"/>
        <w:jc w:val="left"/>
        <w:textAlignment w:val="baseline"/>
        <w:rPr>
          <w:rFonts w:ascii="宋体" w:hAnsi="宋体" w:cs="宋体"/>
          <w:bCs/>
          <w:sz w:val="24"/>
          <w:highlight w:val="none"/>
        </w:rPr>
      </w:pPr>
      <w:r>
        <w:rPr>
          <w:rFonts w:hint="eastAsia" w:ascii="宋体" w:hAnsi="宋体" w:cs="宋体"/>
          <w:bCs/>
          <w:sz w:val="24"/>
          <w:highlight w:val="none"/>
        </w:rPr>
        <w:t>5、国家法律、法规所规定由乙方承担的其它责任。</w:t>
      </w:r>
    </w:p>
    <w:p>
      <w:pPr>
        <w:numPr>
          <w:ilvl w:val="0"/>
          <w:numId w:val="7"/>
        </w:numPr>
        <w:spacing w:line="360" w:lineRule="auto"/>
        <w:rPr>
          <w:rFonts w:ascii="宋体" w:hAnsi="宋体" w:cs="宋体"/>
          <w:b/>
          <w:sz w:val="24"/>
          <w:highlight w:val="none"/>
        </w:rPr>
      </w:pPr>
      <w:bookmarkStart w:id="220" w:name="_Toc12689_WPSOffice_Level2"/>
      <w:bookmarkStart w:id="221" w:name="_Toc22285_WPSOffice_Level2"/>
      <w:r>
        <w:rPr>
          <w:rFonts w:hint="eastAsia" w:ascii="宋体" w:hAnsi="宋体" w:cs="宋体"/>
          <w:b/>
          <w:sz w:val="24"/>
          <w:highlight w:val="none"/>
        </w:rPr>
        <w:t>违约责任</w:t>
      </w:r>
      <w:bookmarkEnd w:id="220"/>
      <w:bookmarkEnd w:id="221"/>
    </w:p>
    <w:p>
      <w:pPr>
        <w:adjustRightInd w:val="0"/>
        <w:spacing w:line="360" w:lineRule="auto"/>
        <w:ind w:firstLine="480" w:firstLineChars="200"/>
        <w:jc w:val="left"/>
        <w:textAlignment w:val="baseline"/>
        <w:rPr>
          <w:rFonts w:ascii="宋体" w:hAnsi="宋体" w:cs="宋体"/>
          <w:bCs/>
          <w:sz w:val="24"/>
          <w:highlight w:val="none"/>
        </w:rPr>
      </w:pPr>
      <w:r>
        <w:rPr>
          <w:rFonts w:hint="eastAsia" w:ascii="宋体" w:hAnsi="宋体" w:cs="宋体"/>
          <w:bCs/>
          <w:sz w:val="24"/>
          <w:highlight w:val="none"/>
        </w:rPr>
        <w:t>1、甲乙双方必须遵守本合同并执行合同中的各项规定，保证本合同的正常履行。</w:t>
      </w:r>
    </w:p>
    <w:p>
      <w:pPr>
        <w:adjustRightInd w:val="0"/>
        <w:spacing w:line="360" w:lineRule="auto"/>
        <w:ind w:firstLine="480" w:firstLineChars="200"/>
        <w:jc w:val="left"/>
        <w:textAlignment w:val="baseline"/>
        <w:rPr>
          <w:rFonts w:ascii="宋体" w:hAnsi="宋体" w:cs="宋体"/>
          <w:bCs/>
          <w:sz w:val="24"/>
          <w:highlight w:val="none"/>
        </w:rPr>
      </w:pPr>
      <w:r>
        <w:rPr>
          <w:rFonts w:hint="eastAsia" w:ascii="宋体" w:hAnsi="宋体" w:cs="宋体"/>
          <w:bCs/>
          <w:sz w:val="24"/>
          <w:highlight w:val="none"/>
        </w:rPr>
        <w:t>2、如因乙方工作人员在履行职务过程中的的疏忽、失职、过错等故意或者过失原因给甲方造成损失或侵害，包括但不限于甲方本身的财产损失、由此而导致的甲方对任何第三方的法律责任等，乙方对此均应承担全部的赔偿责任。</w:t>
      </w:r>
    </w:p>
    <w:p>
      <w:pPr>
        <w:numPr>
          <w:ilvl w:val="0"/>
          <w:numId w:val="7"/>
        </w:numPr>
        <w:spacing w:line="360" w:lineRule="auto"/>
        <w:rPr>
          <w:rFonts w:ascii="宋体" w:hAnsi="宋体" w:cs="宋体"/>
          <w:b/>
          <w:sz w:val="24"/>
          <w:highlight w:val="none"/>
        </w:rPr>
      </w:pPr>
      <w:bookmarkStart w:id="222" w:name="_Toc9930_WPSOffice_Level2"/>
      <w:r>
        <w:rPr>
          <w:rFonts w:hint="eastAsia" w:ascii="宋体" w:hAnsi="宋体" w:cs="宋体"/>
          <w:b/>
          <w:sz w:val="24"/>
          <w:highlight w:val="none"/>
        </w:rPr>
        <w:t>不可抗力事件处理</w:t>
      </w:r>
      <w:bookmarkEnd w:id="222"/>
    </w:p>
    <w:p>
      <w:pPr>
        <w:tabs>
          <w:tab w:val="left" w:pos="0"/>
        </w:tabs>
        <w:spacing w:line="360" w:lineRule="auto"/>
        <w:ind w:firstLine="480" w:firstLineChars="200"/>
        <w:rPr>
          <w:rFonts w:ascii="宋体" w:hAnsi="宋体" w:cs="宋体"/>
          <w:sz w:val="24"/>
          <w:highlight w:val="none"/>
        </w:rPr>
      </w:pPr>
      <w:r>
        <w:rPr>
          <w:rFonts w:hint="eastAsia" w:ascii="宋体" w:hAnsi="宋体" w:cs="宋体"/>
          <w:sz w:val="24"/>
          <w:highlight w:val="none"/>
        </w:rPr>
        <w:t>1、在合同有效期内，任何一方因不可抗力事件导致不能履行合同，则合同履行期可延长，其延长期与不可抗力影响期相同。</w:t>
      </w:r>
    </w:p>
    <w:p>
      <w:pPr>
        <w:tabs>
          <w:tab w:val="left" w:pos="0"/>
        </w:tabs>
        <w:spacing w:line="360" w:lineRule="auto"/>
        <w:ind w:firstLine="480" w:firstLineChars="200"/>
        <w:rPr>
          <w:rFonts w:ascii="宋体" w:hAnsi="宋体" w:cs="宋体"/>
          <w:sz w:val="24"/>
          <w:highlight w:val="none"/>
        </w:rPr>
      </w:pPr>
      <w:r>
        <w:rPr>
          <w:rFonts w:hint="eastAsia" w:ascii="宋体" w:hAnsi="宋体" w:cs="宋体"/>
          <w:sz w:val="24"/>
          <w:highlight w:val="none"/>
        </w:rPr>
        <w:t>2、不可抗力事件发生后，应立即通知对方，并寄送有关权威机构出具的证明。</w:t>
      </w:r>
    </w:p>
    <w:p>
      <w:pPr>
        <w:tabs>
          <w:tab w:val="left" w:pos="0"/>
        </w:tabs>
        <w:spacing w:line="360" w:lineRule="auto"/>
        <w:ind w:firstLine="480" w:firstLineChars="200"/>
        <w:rPr>
          <w:rFonts w:ascii="宋体" w:hAnsi="宋体" w:cs="宋体"/>
          <w:sz w:val="24"/>
          <w:highlight w:val="none"/>
        </w:rPr>
      </w:pPr>
      <w:r>
        <w:rPr>
          <w:rFonts w:hint="eastAsia" w:ascii="宋体" w:hAnsi="宋体" w:cs="宋体"/>
          <w:sz w:val="24"/>
          <w:highlight w:val="none"/>
        </w:rPr>
        <w:t>3、不可抗力事件延续XX天以上，双方应通过友好协商，确定是否继续履行合同。</w:t>
      </w:r>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p>
    <w:p>
      <w:pPr>
        <w:numPr>
          <w:ilvl w:val="0"/>
          <w:numId w:val="7"/>
        </w:numPr>
        <w:spacing w:line="360" w:lineRule="auto"/>
        <w:rPr>
          <w:rFonts w:ascii="宋体" w:hAnsi="宋体" w:cs="宋体"/>
          <w:b/>
          <w:sz w:val="24"/>
          <w:highlight w:val="none"/>
        </w:rPr>
      </w:pPr>
      <w:bookmarkStart w:id="223" w:name="_Toc211854454"/>
      <w:bookmarkStart w:id="224" w:name="_Toc251768867"/>
      <w:bookmarkStart w:id="225" w:name="_Toc239568423"/>
      <w:bookmarkStart w:id="226" w:name="_Toc239233919"/>
      <w:bookmarkStart w:id="227" w:name="_Toc238984980"/>
      <w:bookmarkStart w:id="228" w:name="_Toc225244857"/>
      <w:bookmarkStart w:id="229" w:name="_Toc12653_WPSOffice_Level2"/>
      <w:bookmarkStart w:id="230" w:name="_Toc241833908"/>
      <w:bookmarkStart w:id="231" w:name="_Toc232492933"/>
      <w:bookmarkStart w:id="232" w:name="_Toc286993792"/>
      <w:bookmarkStart w:id="233" w:name="_Toc31579_WPSOffice_Level2"/>
      <w:bookmarkStart w:id="234" w:name="_Toc225670756"/>
      <w:bookmarkStart w:id="235" w:name="_Toc225654649"/>
      <w:bookmarkStart w:id="236" w:name="_Toc212019599"/>
      <w:bookmarkStart w:id="237" w:name="_Toc211911353"/>
      <w:bookmarkStart w:id="238" w:name="_Toc247334846"/>
      <w:bookmarkStart w:id="239" w:name="_Toc185395254"/>
      <w:bookmarkStart w:id="240" w:name="_Toc237145411"/>
      <w:r>
        <w:rPr>
          <w:rFonts w:hint="eastAsia" w:ascii="宋体" w:hAnsi="宋体" w:cs="宋体"/>
          <w:b/>
          <w:sz w:val="24"/>
          <w:highlight w:val="none"/>
        </w:rPr>
        <w:t>解决合同纠纷的方式</w:t>
      </w:r>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p>
    <w:p>
      <w:pPr>
        <w:tabs>
          <w:tab w:val="left" w:pos="0"/>
        </w:tabs>
        <w:spacing w:line="360" w:lineRule="auto"/>
        <w:ind w:firstLine="480" w:firstLineChars="200"/>
        <w:rPr>
          <w:rFonts w:ascii="宋体" w:hAnsi="宋体" w:cs="宋体"/>
          <w:sz w:val="24"/>
          <w:highlight w:val="none"/>
        </w:rPr>
      </w:pPr>
      <w:r>
        <w:rPr>
          <w:rFonts w:hint="eastAsia" w:ascii="宋体" w:hAnsi="宋体" w:cs="宋体"/>
          <w:sz w:val="24"/>
          <w:highlight w:val="none"/>
        </w:rPr>
        <w:t>1、在执行本合同中发生的或与本合同有关的争端，双方应通过友好协商解决，经协商在XX天内不能达成协议时，应提交成都仲裁委员会仲裁。</w:t>
      </w:r>
    </w:p>
    <w:p>
      <w:pPr>
        <w:tabs>
          <w:tab w:val="left" w:pos="0"/>
        </w:tabs>
        <w:spacing w:line="360" w:lineRule="auto"/>
        <w:ind w:firstLine="480" w:firstLineChars="200"/>
        <w:rPr>
          <w:rFonts w:ascii="宋体" w:hAnsi="宋体" w:cs="宋体"/>
          <w:sz w:val="24"/>
          <w:highlight w:val="none"/>
        </w:rPr>
      </w:pPr>
      <w:r>
        <w:rPr>
          <w:rFonts w:hint="eastAsia" w:ascii="宋体" w:hAnsi="宋体" w:cs="宋体"/>
          <w:sz w:val="24"/>
          <w:highlight w:val="none"/>
        </w:rPr>
        <w:t>2、仲裁裁决应为最终决定，并对双方具有约束力。</w:t>
      </w:r>
    </w:p>
    <w:p>
      <w:pPr>
        <w:tabs>
          <w:tab w:val="left" w:pos="0"/>
        </w:tabs>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3、除另有裁决外，仲裁费应由败诉方负担。 </w:t>
      </w:r>
    </w:p>
    <w:p>
      <w:pPr>
        <w:tabs>
          <w:tab w:val="left" w:pos="0"/>
        </w:tabs>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4、在仲裁期间，除正在进行仲裁部分外，合同其他部分继续执行。  </w:t>
      </w:r>
    </w:p>
    <w:p>
      <w:pPr>
        <w:numPr>
          <w:ilvl w:val="0"/>
          <w:numId w:val="7"/>
        </w:numPr>
        <w:spacing w:line="360" w:lineRule="auto"/>
        <w:rPr>
          <w:rFonts w:ascii="宋体" w:hAnsi="宋体" w:cs="宋体"/>
          <w:b/>
          <w:sz w:val="24"/>
          <w:highlight w:val="none"/>
        </w:rPr>
      </w:pPr>
      <w:bookmarkStart w:id="241" w:name="_Toc185395255"/>
      <w:bookmarkStart w:id="242" w:name="_Toc283019219"/>
      <w:bookmarkStart w:id="243" w:name="_Toc286993793"/>
      <w:bookmarkStart w:id="244" w:name="_Toc211911354"/>
      <w:bookmarkStart w:id="245" w:name="_Toc225654650"/>
      <w:bookmarkStart w:id="246" w:name="_Toc282696231"/>
      <w:bookmarkStart w:id="247" w:name="_Toc225670757"/>
      <w:bookmarkStart w:id="248" w:name="_Toc232492934"/>
      <w:bookmarkStart w:id="249" w:name="_Toc225244858"/>
      <w:bookmarkStart w:id="250" w:name="_Toc211854455"/>
      <w:bookmarkStart w:id="251" w:name="_Toc237145412"/>
      <w:bookmarkStart w:id="252" w:name="_Toc247334847"/>
      <w:bookmarkStart w:id="253" w:name="_Toc239233920"/>
      <w:bookmarkStart w:id="254" w:name="_Toc239568424"/>
      <w:bookmarkStart w:id="255" w:name="_Toc241833909"/>
      <w:bookmarkStart w:id="256" w:name="_Toc212019600"/>
      <w:bookmarkStart w:id="257" w:name="_Toc251768868"/>
      <w:bookmarkStart w:id="258" w:name="_Toc238984981"/>
      <w:bookmarkStart w:id="259" w:name="_Toc10503_WPSOffice_Level2"/>
      <w:bookmarkStart w:id="260" w:name="_Toc19069_WPSOffice_Level2"/>
      <w:r>
        <w:rPr>
          <w:rFonts w:hint="eastAsia" w:ascii="宋体" w:hAnsi="宋体" w:cs="宋体"/>
          <w:b/>
          <w:sz w:val="24"/>
          <w:highlight w:val="none"/>
        </w:rPr>
        <w:t>合同</w:t>
      </w:r>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r>
        <w:rPr>
          <w:rFonts w:hint="eastAsia" w:ascii="宋体" w:hAnsi="宋体" w:cs="宋体"/>
          <w:b/>
          <w:sz w:val="24"/>
          <w:highlight w:val="none"/>
        </w:rPr>
        <w:t>生效及其他</w:t>
      </w:r>
      <w:bookmarkEnd w:id="259"/>
      <w:bookmarkEnd w:id="260"/>
    </w:p>
    <w:p>
      <w:pPr>
        <w:pStyle w:val="40"/>
        <w:spacing w:line="360" w:lineRule="auto"/>
        <w:ind w:firstLine="480"/>
        <w:rPr>
          <w:rFonts w:ascii="宋体" w:hAnsi="宋体" w:cs="宋体"/>
          <w:sz w:val="24"/>
          <w:highlight w:val="none"/>
        </w:rPr>
      </w:pPr>
      <w:r>
        <w:rPr>
          <w:rFonts w:hint="eastAsia" w:ascii="宋体" w:hAnsi="宋体" w:cs="宋体"/>
          <w:sz w:val="24"/>
          <w:highlight w:val="none"/>
        </w:rPr>
        <w:t>1、合同经双方法定代表人或授权委托代理人签字并加盖单位公章后生效。</w:t>
      </w:r>
    </w:p>
    <w:p>
      <w:pPr>
        <w:pStyle w:val="40"/>
        <w:spacing w:line="360" w:lineRule="auto"/>
        <w:ind w:firstLine="480"/>
        <w:rPr>
          <w:rFonts w:ascii="宋体" w:hAnsi="宋体" w:cs="宋体"/>
          <w:sz w:val="24"/>
          <w:highlight w:val="none"/>
        </w:rPr>
      </w:pPr>
      <w:r>
        <w:rPr>
          <w:rFonts w:hint="eastAsia" w:ascii="宋体" w:hAnsi="宋体" w:cs="宋体"/>
          <w:sz w:val="24"/>
          <w:highlight w:val="none"/>
        </w:rPr>
        <w:t>2、合同执行中涉及采购资金和采购内容修改或补充的，须经政府采购监管部门审批，并签书面补充协议报政府采购监督管理部门备案，方可作为主合同不可分割的一部分。</w:t>
      </w:r>
    </w:p>
    <w:p>
      <w:pPr>
        <w:pStyle w:val="40"/>
        <w:spacing w:line="360" w:lineRule="auto"/>
        <w:ind w:firstLine="480"/>
        <w:rPr>
          <w:rFonts w:ascii="宋体" w:hAnsi="宋体" w:cs="宋体"/>
          <w:sz w:val="24"/>
          <w:highlight w:val="none"/>
        </w:rPr>
      </w:pPr>
      <w:r>
        <w:rPr>
          <w:rFonts w:hint="eastAsia" w:ascii="宋体" w:hAnsi="宋体" w:cs="宋体"/>
          <w:sz w:val="24"/>
          <w:highlight w:val="none"/>
        </w:rPr>
        <w:t>3、本合同一式XX份，自双方签章之日起起效。甲方XX份，乙方XX份，政府采购代理机构XX份，同级财政部门备案XX份，具有同等法律效力。</w:t>
      </w:r>
    </w:p>
    <w:p>
      <w:pPr>
        <w:numPr>
          <w:ilvl w:val="0"/>
          <w:numId w:val="7"/>
        </w:numPr>
        <w:spacing w:line="360" w:lineRule="auto"/>
        <w:rPr>
          <w:rFonts w:ascii="宋体" w:hAnsi="宋体" w:cs="宋体"/>
          <w:b/>
          <w:sz w:val="24"/>
          <w:highlight w:val="none"/>
        </w:rPr>
      </w:pPr>
      <w:bookmarkStart w:id="261" w:name="_Toc14459_WPSOffice_Level2"/>
      <w:bookmarkStart w:id="262" w:name="_Toc28162_WPSOffice_Level2"/>
      <w:r>
        <w:rPr>
          <w:rFonts w:hint="eastAsia" w:ascii="宋体" w:hAnsi="宋体" w:cs="宋体"/>
          <w:b/>
          <w:sz w:val="24"/>
          <w:highlight w:val="none"/>
        </w:rPr>
        <w:t>附件</w:t>
      </w:r>
      <w:bookmarkEnd w:id="261"/>
      <w:bookmarkEnd w:id="262"/>
    </w:p>
    <w:p>
      <w:pPr>
        <w:pStyle w:val="40"/>
        <w:spacing w:line="360" w:lineRule="auto"/>
        <w:ind w:firstLine="480"/>
        <w:rPr>
          <w:rFonts w:ascii="宋体" w:hAnsi="宋体" w:cs="宋体"/>
          <w:sz w:val="24"/>
          <w:highlight w:val="none"/>
        </w:rPr>
      </w:pPr>
      <w:r>
        <w:rPr>
          <w:rFonts w:hint="eastAsia" w:ascii="宋体" w:hAnsi="宋体" w:cs="宋体"/>
          <w:sz w:val="24"/>
          <w:highlight w:val="none"/>
        </w:rPr>
        <w:t>1、项目磋商文件</w:t>
      </w:r>
    </w:p>
    <w:p>
      <w:pPr>
        <w:pStyle w:val="40"/>
        <w:spacing w:line="360" w:lineRule="auto"/>
        <w:ind w:firstLine="480"/>
        <w:rPr>
          <w:rFonts w:ascii="宋体" w:hAnsi="宋体" w:cs="宋体"/>
          <w:sz w:val="24"/>
          <w:highlight w:val="none"/>
        </w:rPr>
      </w:pPr>
      <w:r>
        <w:rPr>
          <w:rFonts w:hint="eastAsia" w:ascii="宋体" w:hAnsi="宋体" w:cs="宋体"/>
          <w:sz w:val="24"/>
          <w:highlight w:val="none"/>
        </w:rPr>
        <w:t>2、项目修改澄清文件</w:t>
      </w:r>
    </w:p>
    <w:p>
      <w:pPr>
        <w:pStyle w:val="40"/>
        <w:spacing w:line="360" w:lineRule="auto"/>
        <w:ind w:firstLine="480"/>
        <w:rPr>
          <w:rFonts w:ascii="宋体" w:hAnsi="宋体" w:cs="宋体"/>
          <w:sz w:val="24"/>
          <w:highlight w:val="none"/>
        </w:rPr>
      </w:pPr>
      <w:r>
        <w:rPr>
          <w:rFonts w:hint="eastAsia" w:ascii="宋体" w:hAnsi="宋体" w:cs="宋体"/>
          <w:sz w:val="24"/>
          <w:highlight w:val="none"/>
        </w:rPr>
        <w:t>3、项目响应文件</w:t>
      </w:r>
    </w:p>
    <w:p>
      <w:pPr>
        <w:pStyle w:val="40"/>
        <w:spacing w:line="360" w:lineRule="auto"/>
        <w:ind w:firstLine="480"/>
        <w:rPr>
          <w:rFonts w:ascii="宋体" w:hAnsi="宋体" w:cs="宋体"/>
          <w:sz w:val="24"/>
          <w:highlight w:val="none"/>
        </w:rPr>
      </w:pPr>
      <w:r>
        <w:rPr>
          <w:rFonts w:hint="eastAsia" w:ascii="宋体" w:hAnsi="宋体" w:cs="宋体"/>
          <w:sz w:val="24"/>
          <w:highlight w:val="none"/>
        </w:rPr>
        <w:t>4、成交通知书</w:t>
      </w:r>
    </w:p>
    <w:p>
      <w:pPr>
        <w:pStyle w:val="40"/>
        <w:spacing w:line="360" w:lineRule="auto"/>
        <w:ind w:firstLine="480"/>
        <w:rPr>
          <w:rFonts w:ascii="宋体" w:hAnsi="宋体" w:cs="宋体"/>
          <w:sz w:val="24"/>
          <w:highlight w:val="none"/>
        </w:rPr>
      </w:pPr>
      <w:r>
        <w:rPr>
          <w:rFonts w:hint="eastAsia" w:ascii="宋体" w:hAnsi="宋体" w:cs="宋体"/>
          <w:sz w:val="24"/>
          <w:highlight w:val="none"/>
        </w:rPr>
        <w:t>5、其他</w:t>
      </w:r>
    </w:p>
    <w:p>
      <w:pPr>
        <w:spacing w:line="400" w:lineRule="exact"/>
        <w:ind w:firstLine="480" w:firstLineChars="200"/>
        <w:rPr>
          <w:rFonts w:ascii="宋体" w:hAnsi="宋体" w:cs="宋体"/>
          <w:sz w:val="24"/>
          <w:highlight w:val="none"/>
        </w:rPr>
      </w:pPr>
      <w:r>
        <w:rPr>
          <w:rFonts w:hint="eastAsia" w:ascii="宋体" w:hAnsi="宋体" w:cs="宋体"/>
          <w:sz w:val="24"/>
          <w:highlight w:val="none"/>
        </w:rPr>
        <w:t xml:space="preserve">甲方：   （盖章）   </w:t>
      </w:r>
      <w:r>
        <w:rPr>
          <w:rFonts w:hint="eastAsia" w:ascii="宋体" w:hAnsi="宋体" w:cs="宋体"/>
          <w:sz w:val="24"/>
          <w:highlight w:val="none"/>
        </w:rPr>
        <w:tab/>
      </w:r>
      <w:r>
        <w:rPr>
          <w:rFonts w:hint="eastAsia" w:ascii="宋体" w:hAnsi="宋体" w:cs="宋体"/>
          <w:sz w:val="24"/>
          <w:highlight w:val="none"/>
        </w:rPr>
        <w:tab/>
      </w:r>
      <w:r>
        <w:rPr>
          <w:rFonts w:hint="eastAsia" w:ascii="宋体" w:hAnsi="宋体" w:cs="宋体"/>
          <w:sz w:val="24"/>
          <w:highlight w:val="none"/>
        </w:rPr>
        <w:tab/>
      </w:r>
      <w:r>
        <w:rPr>
          <w:rFonts w:hint="eastAsia" w:ascii="宋体" w:hAnsi="宋体" w:cs="宋体"/>
          <w:sz w:val="24"/>
          <w:highlight w:val="none"/>
        </w:rPr>
        <w:t>乙方：   （盖章）</w:t>
      </w:r>
    </w:p>
    <w:p>
      <w:pPr>
        <w:spacing w:line="400" w:lineRule="exact"/>
        <w:ind w:firstLine="480" w:firstLineChars="200"/>
        <w:rPr>
          <w:rFonts w:ascii="宋体" w:hAnsi="宋体" w:cs="宋体"/>
          <w:sz w:val="24"/>
          <w:highlight w:val="none"/>
        </w:rPr>
      </w:pPr>
      <w:r>
        <w:rPr>
          <w:rFonts w:hint="eastAsia" w:ascii="宋体" w:hAnsi="宋体" w:cs="宋体"/>
          <w:sz w:val="24"/>
          <w:highlight w:val="none"/>
        </w:rPr>
        <w:t>法定代表人（授权代表）：           法定代表人（授权代表）：</w:t>
      </w:r>
    </w:p>
    <w:p>
      <w:pPr>
        <w:spacing w:line="400" w:lineRule="exact"/>
        <w:ind w:firstLine="480" w:firstLineChars="200"/>
        <w:rPr>
          <w:rFonts w:ascii="宋体" w:hAnsi="宋体" w:cs="宋体"/>
          <w:sz w:val="24"/>
          <w:highlight w:val="none"/>
        </w:rPr>
      </w:pPr>
      <w:r>
        <w:rPr>
          <w:rFonts w:hint="eastAsia" w:ascii="宋体" w:hAnsi="宋体" w:cs="宋体"/>
          <w:sz w:val="24"/>
          <w:highlight w:val="none"/>
        </w:rPr>
        <w:t>地    址：                         地    址：</w:t>
      </w:r>
    </w:p>
    <w:p>
      <w:pPr>
        <w:spacing w:line="400" w:lineRule="exact"/>
        <w:ind w:firstLine="480" w:firstLineChars="200"/>
        <w:rPr>
          <w:rFonts w:ascii="宋体" w:hAnsi="宋体" w:cs="宋体"/>
          <w:sz w:val="24"/>
          <w:highlight w:val="none"/>
        </w:rPr>
      </w:pPr>
      <w:r>
        <w:rPr>
          <w:rFonts w:hint="eastAsia" w:ascii="宋体" w:hAnsi="宋体" w:cs="宋体"/>
          <w:sz w:val="24"/>
          <w:highlight w:val="none"/>
        </w:rPr>
        <w:t>开户银行：                         开户银行：</w:t>
      </w:r>
    </w:p>
    <w:p>
      <w:pPr>
        <w:spacing w:line="400" w:lineRule="exact"/>
        <w:ind w:firstLine="480" w:firstLineChars="200"/>
        <w:rPr>
          <w:rFonts w:ascii="宋体" w:hAnsi="宋体" w:cs="宋体"/>
          <w:sz w:val="24"/>
          <w:highlight w:val="none"/>
        </w:rPr>
      </w:pPr>
      <w:r>
        <w:rPr>
          <w:rFonts w:hint="eastAsia" w:ascii="宋体" w:hAnsi="宋体" w:cs="宋体"/>
          <w:sz w:val="24"/>
          <w:highlight w:val="none"/>
        </w:rPr>
        <w:t>账号：                             账号：</w:t>
      </w:r>
    </w:p>
    <w:p>
      <w:pPr>
        <w:spacing w:line="400" w:lineRule="exact"/>
        <w:ind w:firstLine="480" w:firstLineChars="200"/>
        <w:rPr>
          <w:rFonts w:ascii="宋体" w:hAnsi="宋体" w:cs="宋体"/>
          <w:sz w:val="24"/>
          <w:highlight w:val="none"/>
        </w:rPr>
      </w:pPr>
      <w:r>
        <w:rPr>
          <w:rFonts w:hint="eastAsia" w:ascii="宋体" w:hAnsi="宋体" w:cs="宋体"/>
          <w:sz w:val="24"/>
          <w:highlight w:val="none"/>
        </w:rPr>
        <w:t>电    话：                         电    话：</w:t>
      </w:r>
    </w:p>
    <w:p>
      <w:pPr>
        <w:spacing w:line="400" w:lineRule="exact"/>
        <w:ind w:firstLine="480" w:firstLineChars="200"/>
        <w:rPr>
          <w:rFonts w:ascii="宋体" w:hAnsi="宋体" w:cs="宋体"/>
          <w:sz w:val="24"/>
          <w:highlight w:val="none"/>
        </w:rPr>
      </w:pPr>
      <w:r>
        <w:rPr>
          <w:rFonts w:hint="eastAsia" w:ascii="宋体" w:hAnsi="宋体" w:cs="宋体"/>
          <w:sz w:val="24"/>
          <w:highlight w:val="none"/>
        </w:rPr>
        <w:t>传    真：                         传    真：</w:t>
      </w:r>
    </w:p>
    <w:p>
      <w:pPr>
        <w:spacing w:line="400" w:lineRule="exact"/>
        <w:ind w:firstLine="480" w:firstLineChars="200"/>
        <w:rPr>
          <w:rFonts w:ascii="宋体" w:hAnsi="宋体" w:cs="宋体"/>
          <w:sz w:val="24"/>
          <w:highlight w:val="none"/>
        </w:rPr>
      </w:pPr>
      <w:r>
        <w:rPr>
          <w:rFonts w:hint="eastAsia" w:ascii="宋体" w:hAnsi="宋体" w:cs="宋体"/>
          <w:sz w:val="24"/>
          <w:highlight w:val="none"/>
        </w:rPr>
        <w:t xml:space="preserve">签约日期：XX年XX月XX日 </w:t>
      </w:r>
      <w:r>
        <w:rPr>
          <w:rFonts w:hint="eastAsia" w:ascii="宋体" w:hAnsi="宋体" w:cs="宋体"/>
          <w:sz w:val="24"/>
          <w:highlight w:val="none"/>
        </w:rPr>
        <w:tab/>
      </w:r>
      <w:r>
        <w:rPr>
          <w:rFonts w:hint="eastAsia" w:ascii="宋体" w:hAnsi="宋体" w:cs="宋体"/>
          <w:sz w:val="24"/>
          <w:highlight w:val="none"/>
        </w:rPr>
        <w:tab/>
      </w:r>
      <w:r>
        <w:rPr>
          <w:rFonts w:hint="eastAsia" w:ascii="宋体" w:hAnsi="宋体" w:cs="宋体"/>
          <w:sz w:val="24"/>
          <w:highlight w:val="none"/>
        </w:rPr>
        <w:tab/>
      </w:r>
      <w:r>
        <w:rPr>
          <w:rFonts w:hint="eastAsia" w:ascii="宋体" w:hAnsi="宋体" w:cs="宋体"/>
          <w:sz w:val="24"/>
          <w:highlight w:val="none"/>
        </w:rPr>
        <w:t>签约日期：XX年XX月XX日</w:t>
      </w:r>
    </w:p>
    <w:p>
      <w:pPr>
        <w:pStyle w:val="2"/>
        <w:spacing w:line="360" w:lineRule="auto"/>
        <w:ind w:firstLine="466" w:firstLineChars="200"/>
        <w:rPr>
          <w:highlight w:val="none"/>
        </w:rPr>
      </w:pPr>
      <w:r>
        <w:rPr>
          <w:rFonts w:ascii="宋体" w:hAnsi="宋体" w:eastAsia="宋体"/>
          <w:b/>
          <w:bCs/>
          <w:spacing w:val="-4"/>
          <w:sz w:val="24"/>
          <w:szCs w:val="24"/>
          <w:highlight w:val="none"/>
        </w:rPr>
        <w:t>注：合同条款可根据采购人及成交人签订合同时的实际情况进行修改调整。</w:t>
      </w:r>
    </w:p>
    <w:p>
      <w:pPr>
        <w:rPr>
          <w:highlight w:val="none"/>
        </w:rPr>
      </w:pPr>
    </w:p>
    <w:sectPr>
      <w:footerReference r:id="rId15" w:type="default"/>
      <w:pgSz w:w="11850" w:h="16783"/>
      <w:pgMar w:top="1440" w:right="1304" w:bottom="1440" w:left="141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新宋体">
    <w:panose1 w:val="02010609030101010101"/>
    <w:charset w:val="86"/>
    <w:family w:val="modern"/>
    <w:pitch w:val="default"/>
    <w:sig w:usb0="00000283" w:usb1="288F0000" w:usb2="0000000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Calibri">
    <w:panose1 w:val="020F0502020204030204"/>
    <w:charset w:val="00"/>
    <w:family w:val="auto"/>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center" w:y="1"/>
      <w:rPr>
        <w:rStyle w:val="22"/>
      </w:rPr>
    </w:pPr>
    <w:r>
      <w:fldChar w:fldCharType="begin"/>
    </w:r>
    <w:r>
      <w:rPr>
        <w:rStyle w:val="22"/>
      </w:rPr>
      <w:instrText xml:space="preserve">PAGE  </w:instrText>
    </w:r>
    <w:r>
      <w:fldChar w:fldCharType="separate"/>
    </w:r>
    <w:r>
      <w:rPr>
        <w:rStyle w:val="22"/>
      </w:rPr>
      <w:t>4</w:t>
    </w:r>
    <w:r>
      <w:fldChar w:fldCharType="end"/>
    </w:r>
  </w:p>
  <w:p>
    <w:pPr>
      <w:pStyle w:val="1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1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rPr>
        <w:rFonts w:ascii="宋体" w:hAnsi="宋体"/>
        <w:sz w:val="28"/>
        <w:szCs w:val="28"/>
      </w:rPr>
    </w:pPr>
    <w:r>
      <w:rPr>
        <w:sz w:val="2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1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52</w:t>
                    </w:r>
                    <w:r>
                      <w:rPr>
                        <w:rFonts w:hint="eastAsia"/>
                        <w:lang w:eastAsia="zh-CN"/>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outside" w:y="1"/>
      <w:rPr>
        <w:rStyle w:val="22"/>
      </w:rPr>
    </w:pPr>
    <w:r>
      <w:fldChar w:fldCharType="begin"/>
    </w:r>
    <w:r>
      <w:rPr>
        <w:rStyle w:val="22"/>
      </w:rPr>
      <w:instrText xml:space="preserve">PAGE  </w:instrText>
    </w:r>
    <w:r>
      <w:fldChar w:fldCharType="end"/>
    </w:r>
  </w:p>
  <w:p>
    <w:pPr>
      <w:pStyle w:val="15"/>
      <w:ind w:right="360" w:firstLine="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rPr>
        <w:rFonts w:ascii="宋体" w:hAnsi="宋体"/>
        <w:sz w:val="28"/>
        <w:szCs w:val="28"/>
      </w:rPr>
    </w:pPr>
    <w:r>
      <w:rPr>
        <w:sz w:val="2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57</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1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57</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1"/>
      </w:pBdr>
      <w:ind w:firstLine="567"/>
      <w:jc w:val="both"/>
      <w:rPr>
        <w:rFonts w:ascii="宋体" w:hAnsi="宋体" w:cs="宋体"/>
        <w:b/>
        <w:bCs/>
        <w:sz w:val="21"/>
        <w:szCs w:val="21"/>
      </w:rPr>
    </w:pPr>
    <w:r>
      <w:rPr>
        <w:rFonts w:hint="eastAsia" w:eastAsiaTheme="minorEastAsia"/>
        <w:sz w:val="21"/>
        <w:szCs w:val="21"/>
      </w:rPr>
      <w:drawing>
        <wp:anchor distT="0" distB="0" distL="114300" distR="114300" simplePos="0" relativeHeight="251659264" behindDoc="0" locked="0" layoutInCell="1" allowOverlap="1">
          <wp:simplePos x="0" y="0"/>
          <wp:positionH relativeFrom="column">
            <wp:posOffset>-12065</wp:posOffset>
          </wp:positionH>
          <wp:positionV relativeFrom="paragraph">
            <wp:posOffset>0</wp:posOffset>
          </wp:positionV>
          <wp:extent cx="340995" cy="338455"/>
          <wp:effectExtent l="0" t="0" r="1905" b="4445"/>
          <wp:wrapSquare wrapText="bothSides"/>
          <wp:docPr id="9" name="图片 9"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logo"/>
                  <pic:cNvPicPr>
                    <a:picLocks noChangeAspect="1"/>
                  </pic:cNvPicPr>
                </pic:nvPicPr>
                <pic:blipFill>
                  <a:blip r:embed="rId1"/>
                  <a:stretch>
                    <a:fillRect/>
                  </a:stretch>
                </pic:blipFill>
                <pic:spPr>
                  <a:xfrm>
                    <a:off x="0" y="0"/>
                    <a:ext cx="340995" cy="338455"/>
                  </a:xfrm>
                  <a:prstGeom prst="rect">
                    <a:avLst/>
                  </a:prstGeom>
                </pic:spPr>
              </pic:pic>
            </a:graphicData>
          </a:graphic>
        </wp:anchor>
      </w:drawing>
    </w:r>
    <w:r>
      <w:rPr>
        <w:rFonts w:hint="eastAsia" w:ascii="宋体" w:hAnsi="宋体" w:cs="宋体"/>
        <w:b/>
        <w:bCs/>
        <w:sz w:val="21"/>
        <w:szCs w:val="21"/>
      </w:rPr>
      <w:t>四川易通天和招标代理有限公司</w:t>
    </w:r>
  </w:p>
  <w:p>
    <w:pPr>
      <w:pStyle w:val="16"/>
      <w:pBdr>
        <w:bottom w:val="double" w:color="auto" w:sz="8" w:space="1"/>
      </w:pBdr>
      <w:ind w:firstLine="567"/>
      <w:jc w:val="both"/>
      <w:rPr>
        <w:rFonts w:hint="eastAsia" w:eastAsia="宋体"/>
        <w:lang w:eastAsia="zh-CN"/>
      </w:rPr>
    </w:pPr>
    <w:r>
      <w:rPr>
        <w:rFonts w:hint="eastAsia" w:ascii="宋体" w:hAnsi="宋体" w:cs="宋体"/>
        <w:b/>
        <w:bCs/>
        <w:caps/>
        <w:sz w:val="13"/>
        <w:szCs w:val="13"/>
      </w:rPr>
      <w:t>Sichuan Yitongtianhe Tendering Agent Co. Ltd</w:t>
    </w:r>
    <w:r>
      <w:rPr>
        <w:rFonts w:hint="eastAsia" w:ascii="宋体" w:hAnsi="宋体" w:cs="宋体"/>
        <w:b/>
        <w:bCs/>
        <w:sz w:val="13"/>
        <w:szCs w:val="13"/>
      </w:rPr>
      <w:t xml:space="preserve"> </w:t>
    </w:r>
    <w:r>
      <w:rPr>
        <w:rFonts w:hint="eastAsia" w:ascii="宋体" w:hAnsi="宋体" w:cs="宋体"/>
        <w:b/>
        <w:bCs/>
        <w:szCs w:val="18"/>
      </w:rPr>
      <w:t xml:space="preserve">                                        公开·公平·公正·</w:t>
    </w:r>
    <w:r>
      <w:rPr>
        <w:rFonts w:hint="eastAsia" w:ascii="宋体" w:hAnsi="宋体" w:cs="宋体"/>
        <w:b/>
        <w:bCs/>
        <w:szCs w:val="18"/>
        <w:lang w:val="en-US" w:eastAsia="zh-CN"/>
      </w:rPr>
      <w:t>诚信</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rPr>
        <w:rFonts w:hint="eastAsia"/>
      </w:rPr>
      <w:t>四川省工商行政管理局数据中心建设项目政府采购—招标文件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1"/>
      </w:pBdr>
      <w:rPr>
        <w:b/>
        <w:sz w:val="28"/>
        <w:szCs w:val="18"/>
      </w:rPr>
    </w:pPr>
    <w:r>
      <w:drawing>
        <wp:inline distT="0" distB="0" distL="114300" distR="114300">
          <wp:extent cx="1618615" cy="381000"/>
          <wp:effectExtent l="0" t="0" r="635" b="0"/>
          <wp:docPr id="4" name="图片 1" descr="说明: C:\Users\Administrator\Desktop\肖郑洁.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说明: C:\Users\Administrator\Desktop\肖郑洁.png"/>
                  <pic:cNvPicPr>
                    <a:picLocks noChangeAspect="1"/>
                  </pic:cNvPicPr>
                </pic:nvPicPr>
                <pic:blipFill>
                  <a:blip r:embed="rId1"/>
                  <a:stretch>
                    <a:fillRect/>
                  </a:stretch>
                </pic:blipFill>
                <pic:spPr>
                  <a:xfrm>
                    <a:off x="0" y="0"/>
                    <a:ext cx="1618615" cy="381000"/>
                  </a:xfrm>
                  <a:prstGeom prst="rect">
                    <a:avLst/>
                  </a:prstGeom>
                  <a:noFill/>
                  <a:ln w="9525">
                    <a:noFill/>
                  </a:ln>
                </pic:spPr>
              </pic:pic>
            </a:graphicData>
          </a:graphic>
        </wp:inline>
      </w:drawing>
    </w:r>
    <w:r>
      <w:rPr>
        <w:rFonts w:hint="eastAsia"/>
      </w:rPr>
      <w:t xml:space="preserve">                      </w:t>
    </w:r>
    <w:r>
      <w:rPr>
        <w:b/>
        <w:sz w:val="28"/>
        <w:szCs w:val="18"/>
      </w:rPr>
      <w:t>效率成就品牌</w:t>
    </w:r>
    <w:r>
      <w:rPr>
        <w:rFonts w:hint="eastAsia"/>
        <w:b/>
        <w:sz w:val="28"/>
      </w:rPr>
      <w:t xml:space="preserve">   </w:t>
    </w:r>
    <w:r>
      <w:rPr>
        <w:b/>
        <w:sz w:val="28"/>
        <w:szCs w:val="18"/>
      </w:rPr>
      <w:t>诚信铸就未来</w:t>
    </w:r>
  </w:p>
  <w:p>
    <w:pPr>
      <w:pStyle w:val="1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1"/>
      </w:pBdr>
      <w:ind w:firstLine="567"/>
      <w:jc w:val="both"/>
      <w:rPr>
        <w:rFonts w:ascii="宋体" w:hAnsi="宋体" w:cs="宋体"/>
        <w:b/>
        <w:bCs/>
        <w:sz w:val="21"/>
        <w:szCs w:val="21"/>
      </w:rPr>
    </w:pPr>
    <w:r>
      <w:rPr>
        <w:rFonts w:hint="eastAsia" w:eastAsiaTheme="minorEastAsia"/>
        <w:sz w:val="21"/>
        <w:szCs w:val="21"/>
      </w:rPr>
      <w:drawing>
        <wp:anchor distT="0" distB="0" distL="114300" distR="114300" simplePos="0" relativeHeight="251660288" behindDoc="0" locked="0" layoutInCell="1" allowOverlap="1">
          <wp:simplePos x="0" y="0"/>
          <wp:positionH relativeFrom="column">
            <wp:posOffset>-12065</wp:posOffset>
          </wp:positionH>
          <wp:positionV relativeFrom="paragraph">
            <wp:posOffset>0</wp:posOffset>
          </wp:positionV>
          <wp:extent cx="340995" cy="338455"/>
          <wp:effectExtent l="0" t="0" r="1905" b="4445"/>
          <wp:wrapSquare wrapText="bothSides"/>
          <wp:docPr id="10" name="图片 10"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logo"/>
                  <pic:cNvPicPr>
                    <a:picLocks noChangeAspect="1"/>
                  </pic:cNvPicPr>
                </pic:nvPicPr>
                <pic:blipFill>
                  <a:blip r:embed="rId1"/>
                  <a:stretch>
                    <a:fillRect/>
                  </a:stretch>
                </pic:blipFill>
                <pic:spPr>
                  <a:xfrm>
                    <a:off x="0" y="0"/>
                    <a:ext cx="340995" cy="338455"/>
                  </a:xfrm>
                  <a:prstGeom prst="rect">
                    <a:avLst/>
                  </a:prstGeom>
                </pic:spPr>
              </pic:pic>
            </a:graphicData>
          </a:graphic>
        </wp:anchor>
      </w:drawing>
    </w:r>
    <w:r>
      <w:rPr>
        <w:rFonts w:hint="eastAsia" w:ascii="宋体" w:hAnsi="宋体" w:cs="宋体"/>
        <w:b/>
        <w:bCs/>
        <w:sz w:val="21"/>
        <w:szCs w:val="21"/>
      </w:rPr>
      <w:t>四川易通天和招标代理有限公司</w:t>
    </w:r>
  </w:p>
  <w:p>
    <w:pPr>
      <w:pStyle w:val="16"/>
      <w:pBdr>
        <w:bottom w:val="double" w:color="auto" w:sz="8" w:space="1"/>
      </w:pBdr>
      <w:ind w:firstLine="567"/>
      <w:jc w:val="both"/>
    </w:pPr>
    <w:r>
      <w:rPr>
        <w:rFonts w:hint="eastAsia" w:ascii="宋体" w:hAnsi="宋体" w:cs="宋体"/>
        <w:b/>
        <w:bCs/>
        <w:caps/>
        <w:sz w:val="13"/>
        <w:szCs w:val="13"/>
      </w:rPr>
      <w:t>Sichuan Yitongtianhe Tendering Agent Co. Ltd</w:t>
    </w:r>
    <w:r>
      <w:rPr>
        <w:rFonts w:hint="eastAsia" w:ascii="宋体" w:hAnsi="宋体" w:cs="宋体"/>
        <w:b/>
        <w:bCs/>
        <w:sz w:val="13"/>
        <w:szCs w:val="13"/>
      </w:rPr>
      <w:t xml:space="preserve"> </w:t>
    </w:r>
    <w:r>
      <w:rPr>
        <w:rFonts w:hint="eastAsia" w:ascii="宋体" w:hAnsi="宋体" w:cs="宋体"/>
        <w:b/>
        <w:bCs/>
        <w:szCs w:val="18"/>
      </w:rPr>
      <w:t xml:space="preserve">                              </w:t>
    </w:r>
    <w:r>
      <w:rPr>
        <w:rFonts w:hint="eastAsia" w:ascii="宋体" w:hAnsi="宋体" w:cs="宋体"/>
        <w:b/>
        <w:bCs/>
        <w:szCs w:val="18"/>
        <w:lang w:val="en-US" w:eastAsia="zh-CN"/>
      </w:rPr>
      <w:t xml:space="preserve">         </w:t>
    </w:r>
    <w:r>
      <w:rPr>
        <w:rFonts w:hint="eastAsia" w:ascii="宋体" w:hAnsi="宋体" w:cs="宋体"/>
        <w:b/>
        <w:bCs/>
        <w:szCs w:val="18"/>
      </w:rPr>
      <w:t xml:space="preserve"> 公开·公平·公正·</w:t>
    </w:r>
    <w:r>
      <w:rPr>
        <w:rFonts w:hint="eastAsia" w:ascii="宋体" w:hAnsi="宋体" w:cs="宋体"/>
        <w:b/>
        <w:bCs/>
        <w:szCs w:val="18"/>
        <w:lang w:val="en-US" w:eastAsia="zh-CN"/>
      </w:rPr>
      <w:t>诚信</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1"/>
      </w:pBdr>
      <w:ind w:firstLine="567"/>
      <w:jc w:val="both"/>
      <w:rPr>
        <w:rFonts w:ascii="宋体" w:hAnsi="宋体" w:cs="宋体"/>
        <w:b/>
        <w:bCs/>
        <w:sz w:val="21"/>
        <w:szCs w:val="21"/>
      </w:rPr>
    </w:pPr>
    <w:r>
      <w:rPr>
        <w:rFonts w:hint="eastAsia" w:eastAsiaTheme="minorEastAsia"/>
        <w:sz w:val="21"/>
        <w:szCs w:val="21"/>
      </w:rPr>
      <w:drawing>
        <wp:anchor distT="0" distB="0" distL="114300" distR="114300" simplePos="0" relativeHeight="251661312" behindDoc="0" locked="0" layoutInCell="1" allowOverlap="1">
          <wp:simplePos x="0" y="0"/>
          <wp:positionH relativeFrom="column">
            <wp:posOffset>-12065</wp:posOffset>
          </wp:positionH>
          <wp:positionV relativeFrom="paragraph">
            <wp:posOffset>0</wp:posOffset>
          </wp:positionV>
          <wp:extent cx="340995" cy="338455"/>
          <wp:effectExtent l="0" t="0" r="1905" b="4445"/>
          <wp:wrapSquare wrapText="bothSides"/>
          <wp:docPr id="11" name="图片 1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logo"/>
                  <pic:cNvPicPr>
                    <a:picLocks noChangeAspect="1"/>
                  </pic:cNvPicPr>
                </pic:nvPicPr>
                <pic:blipFill>
                  <a:blip r:embed="rId1"/>
                  <a:stretch>
                    <a:fillRect/>
                  </a:stretch>
                </pic:blipFill>
                <pic:spPr>
                  <a:xfrm>
                    <a:off x="0" y="0"/>
                    <a:ext cx="340995" cy="338455"/>
                  </a:xfrm>
                  <a:prstGeom prst="rect">
                    <a:avLst/>
                  </a:prstGeom>
                </pic:spPr>
              </pic:pic>
            </a:graphicData>
          </a:graphic>
        </wp:anchor>
      </w:drawing>
    </w:r>
    <w:r>
      <w:rPr>
        <w:rFonts w:hint="eastAsia" w:ascii="宋体" w:hAnsi="宋体" w:cs="宋体"/>
        <w:b/>
        <w:bCs/>
        <w:sz w:val="21"/>
        <w:szCs w:val="21"/>
      </w:rPr>
      <w:t>四川易通天和招标代理有限公司</w:t>
    </w:r>
  </w:p>
  <w:p>
    <w:pPr>
      <w:pStyle w:val="16"/>
      <w:pBdr>
        <w:bottom w:val="double" w:color="auto" w:sz="8" w:space="1"/>
      </w:pBdr>
      <w:ind w:firstLine="567"/>
      <w:jc w:val="both"/>
    </w:pPr>
    <w:r>
      <w:rPr>
        <w:rFonts w:hint="eastAsia" w:ascii="宋体" w:hAnsi="宋体" w:cs="宋体"/>
        <w:b/>
        <w:bCs/>
        <w:caps/>
        <w:sz w:val="13"/>
        <w:szCs w:val="13"/>
      </w:rPr>
      <w:t>Sichuan Yitongtianhe Tendering Agent Co. Ltd</w:t>
    </w:r>
    <w:r>
      <w:rPr>
        <w:rFonts w:hint="eastAsia" w:ascii="宋体" w:hAnsi="宋体" w:cs="宋体"/>
        <w:b/>
        <w:bCs/>
        <w:sz w:val="13"/>
        <w:szCs w:val="13"/>
      </w:rPr>
      <w:t xml:space="preserve"> </w:t>
    </w:r>
    <w:r>
      <w:rPr>
        <w:rFonts w:hint="eastAsia" w:ascii="宋体" w:hAnsi="宋体" w:cs="宋体"/>
        <w:b/>
        <w:bCs/>
        <w:szCs w:val="18"/>
      </w:rPr>
      <w:t xml:space="preserve">                                        公开·公平·公正·</w:t>
    </w:r>
    <w:r>
      <w:rPr>
        <w:rFonts w:hint="eastAsia" w:ascii="宋体" w:hAnsi="宋体" w:cs="宋体"/>
        <w:b/>
        <w:bCs/>
        <w:szCs w:val="18"/>
        <w:lang w:val="en-US" w:eastAsia="zh-CN"/>
      </w:rPr>
      <w:t>诚信</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279F54"/>
    <w:multiLevelType w:val="singleLevel"/>
    <w:tmpl w:val="8D279F54"/>
    <w:lvl w:ilvl="0" w:tentative="0">
      <w:start w:val="3"/>
      <w:numFmt w:val="chineseCounting"/>
      <w:suff w:val="nothing"/>
      <w:lvlText w:val="（%1）"/>
      <w:lvlJc w:val="left"/>
      <w:rPr>
        <w:rFonts w:hint="eastAsia"/>
      </w:rPr>
    </w:lvl>
  </w:abstractNum>
  <w:abstractNum w:abstractNumId="1">
    <w:nsid w:val="928CF0EE"/>
    <w:multiLevelType w:val="singleLevel"/>
    <w:tmpl w:val="928CF0EE"/>
    <w:lvl w:ilvl="0" w:tentative="0">
      <w:start w:val="2"/>
      <w:numFmt w:val="decimal"/>
      <w:suff w:val="nothing"/>
      <w:lvlText w:val="%1、"/>
      <w:lvlJc w:val="left"/>
    </w:lvl>
  </w:abstractNum>
  <w:abstractNum w:abstractNumId="2">
    <w:nsid w:val="EECA97B7"/>
    <w:multiLevelType w:val="singleLevel"/>
    <w:tmpl w:val="EECA97B7"/>
    <w:lvl w:ilvl="0" w:tentative="0">
      <w:start w:val="6"/>
      <w:numFmt w:val="chineseCounting"/>
      <w:suff w:val="space"/>
      <w:lvlText w:val="第%1章"/>
      <w:lvlJc w:val="left"/>
      <w:rPr>
        <w:rFonts w:hint="eastAsia"/>
      </w:rPr>
    </w:lvl>
  </w:abstractNum>
  <w:abstractNum w:abstractNumId="3">
    <w:nsid w:val="F10A0FB2"/>
    <w:multiLevelType w:val="singleLevel"/>
    <w:tmpl w:val="F10A0FB2"/>
    <w:lvl w:ilvl="0" w:tentative="0">
      <w:start w:val="1"/>
      <w:numFmt w:val="chineseCounting"/>
      <w:suff w:val="nothing"/>
      <w:lvlText w:val="%1、"/>
      <w:lvlJc w:val="left"/>
      <w:rPr>
        <w:rFonts w:hint="eastAsia"/>
      </w:rPr>
    </w:lvl>
  </w:abstractNum>
  <w:abstractNum w:abstractNumId="4">
    <w:nsid w:val="1D9C2199"/>
    <w:multiLevelType w:val="multilevel"/>
    <w:tmpl w:val="1D9C2199"/>
    <w:lvl w:ilvl="0" w:tentative="0">
      <w:start w:val="1"/>
      <w:numFmt w:val="chineseCountingThousand"/>
      <w:suff w:val="nothing"/>
      <w:lvlText w:val="(%1)"/>
      <w:lvlJc w:val="left"/>
      <w:pPr>
        <w:ind w:left="420" w:hanging="420"/>
      </w:pPr>
      <w:rPr>
        <w:rFonts w:hint="eastAsia"/>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1F34D364"/>
    <w:multiLevelType w:val="singleLevel"/>
    <w:tmpl w:val="1F34D364"/>
    <w:lvl w:ilvl="0" w:tentative="0">
      <w:start w:val="2"/>
      <w:numFmt w:val="chineseCounting"/>
      <w:suff w:val="nothing"/>
      <w:lvlText w:val="%1、"/>
      <w:lvlJc w:val="left"/>
      <w:rPr>
        <w:rFonts w:hint="eastAsia"/>
      </w:rPr>
    </w:lvl>
  </w:abstractNum>
  <w:abstractNum w:abstractNumId="6">
    <w:nsid w:val="2C2C4B8D"/>
    <w:multiLevelType w:val="singleLevel"/>
    <w:tmpl w:val="2C2C4B8D"/>
    <w:lvl w:ilvl="0" w:tentative="0">
      <w:start w:val="1"/>
      <w:numFmt w:val="japaneseCounting"/>
      <w:lvlText w:val="第%1条"/>
      <w:lvlJc w:val="left"/>
      <w:pPr>
        <w:tabs>
          <w:tab w:val="left" w:pos="1521"/>
        </w:tabs>
        <w:ind w:left="1521" w:hanging="1095"/>
      </w:pPr>
      <w:rPr>
        <w:rFonts w:hint="eastAsia"/>
      </w:rPr>
    </w:lvl>
  </w:abstractNum>
  <w:abstractNum w:abstractNumId="7">
    <w:nsid w:val="5FADA716"/>
    <w:multiLevelType w:val="singleLevel"/>
    <w:tmpl w:val="5FADA716"/>
    <w:lvl w:ilvl="0" w:tentative="0">
      <w:start w:val="1"/>
      <w:numFmt w:val="chineseCounting"/>
      <w:suff w:val="nothing"/>
      <w:lvlText w:val="%1、"/>
      <w:lvlJc w:val="left"/>
      <w:rPr>
        <w:rFonts w:hint="eastAsia"/>
      </w:rPr>
    </w:lvl>
  </w:abstractNum>
  <w:num w:numId="1">
    <w:abstractNumId w:val="2"/>
  </w:num>
  <w:num w:numId="2">
    <w:abstractNumId w:val="0"/>
  </w:num>
  <w:num w:numId="3">
    <w:abstractNumId w:val="3"/>
  </w:num>
  <w:num w:numId="4">
    <w:abstractNumId w:val="7"/>
  </w:num>
  <w:num w:numId="5">
    <w:abstractNumId w:val="1"/>
  </w:num>
  <w:num w:numId="6">
    <w:abstractNumId w:val="5"/>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5A43D5"/>
    <w:rsid w:val="000A5AB9"/>
    <w:rsid w:val="00190E33"/>
    <w:rsid w:val="001D39C5"/>
    <w:rsid w:val="00247CFF"/>
    <w:rsid w:val="002C157C"/>
    <w:rsid w:val="00686A81"/>
    <w:rsid w:val="00766BC0"/>
    <w:rsid w:val="00827910"/>
    <w:rsid w:val="00A81F4A"/>
    <w:rsid w:val="00B41E6C"/>
    <w:rsid w:val="00C26B66"/>
    <w:rsid w:val="00CD6099"/>
    <w:rsid w:val="00D938A8"/>
    <w:rsid w:val="00E14182"/>
    <w:rsid w:val="01E15E9B"/>
    <w:rsid w:val="01F42F02"/>
    <w:rsid w:val="022C2836"/>
    <w:rsid w:val="02697F63"/>
    <w:rsid w:val="02DA4D44"/>
    <w:rsid w:val="03CD7504"/>
    <w:rsid w:val="03E82035"/>
    <w:rsid w:val="03EC6478"/>
    <w:rsid w:val="045A1D12"/>
    <w:rsid w:val="04615E8B"/>
    <w:rsid w:val="04B83B7E"/>
    <w:rsid w:val="04FF0A18"/>
    <w:rsid w:val="054D3514"/>
    <w:rsid w:val="060500E2"/>
    <w:rsid w:val="0620500B"/>
    <w:rsid w:val="06702DFE"/>
    <w:rsid w:val="07767E52"/>
    <w:rsid w:val="077D41D3"/>
    <w:rsid w:val="07D744FB"/>
    <w:rsid w:val="08EE6AB7"/>
    <w:rsid w:val="09574C0D"/>
    <w:rsid w:val="0A4976F4"/>
    <w:rsid w:val="0B193C3A"/>
    <w:rsid w:val="0B8E05FB"/>
    <w:rsid w:val="0C3A6686"/>
    <w:rsid w:val="0C8A02F1"/>
    <w:rsid w:val="0CE63E93"/>
    <w:rsid w:val="0E135CE5"/>
    <w:rsid w:val="0E66464C"/>
    <w:rsid w:val="0E85607E"/>
    <w:rsid w:val="0F152C7D"/>
    <w:rsid w:val="0F7B7846"/>
    <w:rsid w:val="0FC54B4B"/>
    <w:rsid w:val="0FD802E2"/>
    <w:rsid w:val="103C208F"/>
    <w:rsid w:val="11333B94"/>
    <w:rsid w:val="11F2137A"/>
    <w:rsid w:val="12680279"/>
    <w:rsid w:val="1286657B"/>
    <w:rsid w:val="13161799"/>
    <w:rsid w:val="1376391F"/>
    <w:rsid w:val="13883791"/>
    <w:rsid w:val="13CB2402"/>
    <w:rsid w:val="144B3B65"/>
    <w:rsid w:val="148C0EB0"/>
    <w:rsid w:val="148C6ABE"/>
    <w:rsid w:val="14FB038C"/>
    <w:rsid w:val="152E118D"/>
    <w:rsid w:val="154452F5"/>
    <w:rsid w:val="156F64FA"/>
    <w:rsid w:val="157208A3"/>
    <w:rsid w:val="15E45AF3"/>
    <w:rsid w:val="16712A42"/>
    <w:rsid w:val="167546E7"/>
    <w:rsid w:val="17075214"/>
    <w:rsid w:val="178D4AE7"/>
    <w:rsid w:val="17C30F76"/>
    <w:rsid w:val="17F06189"/>
    <w:rsid w:val="17FD0EE6"/>
    <w:rsid w:val="18975699"/>
    <w:rsid w:val="189D5997"/>
    <w:rsid w:val="18B63EDF"/>
    <w:rsid w:val="18EB67F8"/>
    <w:rsid w:val="18EB6F19"/>
    <w:rsid w:val="19FE2D77"/>
    <w:rsid w:val="1A051B3B"/>
    <w:rsid w:val="1A153C27"/>
    <w:rsid w:val="1A723E31"/>
    <w:rsid w:val="1A8B42C0"/>
    <w:rsid w:val="1A9129E8"/>
    <w:rsid w:val="1ADB7603"/>
    <w:rsid w:val="1AE0711B"/>
    <w:rsid w:val="1B1E7852"/>
    <w:rsid w:val="1C4E3CF8"/>
    <w:rsid w:val="1C710B24"/>
    <w:rsid w:val="1CE16B23"/>
    <w:rsid w:val="1CFD2B56"/>
    <w:rsid w:val="1D414F2C"/>
    <w:rsid w:val="1D4B1C2F"/>
    <w:rsid w:val="1DAB40DB"/>
    <w:rsid w:val="1E156D56"/>
    <w:rsid w:val="1F32736C"/>
    <w:rsid w:val="1F3A01EF"/>
    <w:rsid w:val="1F5B063B"/>
    <w:rsid w:val="1F712370"/>
    <w:rsid w:val="1F856BBA"/>
    <w:rsid w:val="1F997A4F"/>
    <w:rsid w:val="1FA77E07"/>
    <w:rsid w:val="1FE37487"/>
    <w:rsid w:val="202950E2"/>
    <w:rsid w:val="206B6FAA"/>
    <w:rsid w:val="207559BA"/>
    <w:rsid w:val="20AB1DC1"/>
    <w:rsid w:val="20DB1D6A"/>
    <w:rsid w:val="20F94922"/>
    <w:rsid w:val="2105121F"/>
    <w:rsid w:val="216E6EDB"/>
    <w:rsid w:val="21845E59"/>
    <w:rsid w:val="21D30C32"/>
    <w:rsid w:val="223530D2"/>
    <w:rsid w:val="22664F2B"/>
    <w:rsid w:val="2276646D"/>
    <w:rsid w:val="228978BB"/>
    <w:rsid w:val="22A75600"/>
    <w:rsid w:val="23506BB0"/>
    <w:rsid w:val="2411494C"/>
    <w:rsid w:val="25030FCF"/>
    <w:rsid w:val="25234BF0"/>
    <w:rsid w:val="25725147"/>
    <w:rsid w:val="25E26480"/>
    <w:rsid w:val="25EB6A44"/>
    <w:rsid w:val="262E3B42"/>
    <w:rsid w:val="26A6217A"/>
    <w:rsid w:val="27220B53"/>
    <w:rsid w:val="27245A33"/>
    <w:rsid w:val="27B22A8E"/>
    <w:rsid w:val="27DB4D6C"/>
    <w:rsid w:val="27F31E2D"/>
    <w:rsid w:val="27FA2F8C"/>
    <w:rsid w:val="286D4323"/>
    <w:rsid w:val="28BD314E"/>
    <w:rsid w:val="28CB27A0"/>
    <w:rsid w:val="29364117"/>
    <w:rsid w:val="29697B45"/>
    <w:rsid w:val="29BF40B8"/>
    <w:rsid w:val="2A1538AA"/>
    <w:rsid w:val="2A500639"/>
    <w:rsid w:val="2AEA5C3A"/>
    <w:rsid w:val="2B357BF5"/>
    <w:rsid w:val="2B694A8E"/>
    <w:rsid w:val="2DB24C23"/>
    <w:rsid w:val="2F4C3773"/>
    <w:rsid w:val="2FF75070"/>
    <w:rsid w:val="30A47954"/>
    <w:rsid w:val="30F73F61"/>
    <w:rsid w:val="3104722B"/>
    <w:rsid w:val="31392E8B"/>
    <w:rsid w:val="31AB1D75"/>
    <w:rsid w:val="31C3008A"/>
    <w:rsid w:val="31E3404D"/>
    <w:rsid w:val="31FB167F"/>
    <w:rsid w:val="324A0681"/>
    <w:rsid w:val="326A46DC"/>
    <w:rsid w:val="32A126CD"/>
    <w:rsid w:val="33CD5B17"/>
    <w:rsid w:val="33E04D7D"/>
    <w:rsid w:val="33E6678E"/>
    <w:rsid w:val="340A16F0"/>
    <w:rsid w:val="343547EA"/>
    <w:rsid w:val="3463024B"/>
    <w:rsid w:val="3470185B"/>
    <w:rsid w:val="35783E61"/>
    <w:rsid w:val="35A56603"/>
    <w:rsid w:val="35E22EA4"/>
    <w:rsid w:val="35FE58F2"/>
    <w:rsid w:val="362D3772"/>
    <w:rsid w:val="364C0682"/>
    <w:rsid w:val="36943587"/>
    <w:rsid w:val="36A514DB"/>
    <w:rsid w:val="36B37E9F"/>
    <w:rsid w:val="36C55039"/>
    <w:rsid w:val="36F17521"/>
    <w:rsid w:val="371234E4"/>
    <w:rsid w:val="37A13940"/>
    <w:rsid w:val="37CA3533"/>
    <w:rsid w:val="37EE106F"/>
    <w:rsid w:val="387E5AB0"/>
    <w:rsid w:val="39525B8E"/>
    <w:rsid w:val="3953056C"/>
    <w:rsid w:val="395E06D5"/>
    <w:rsid w:val="3A040BE2"/>
    <w:rsid w:val="3A160453"/>
    <w:rsid w:val="3A316630"/>
    <w:rsid w:val="3A7F2F89"/>
    <w:rsid w:val="3AB168B0"/>
    <w:rsid w:val="3AEC492A"/>
    <w:rsid w:val="3B790624"/>
    <w:rsid w:val="3BBD32AE"/>
    <w:rsid w:val="3CB20D49"/>
    <w:rsid w:val="3D1411C1"/>
    <w:rsid w:val="3D452D34"/>
    <w:rsid w:val="3DD86B39"/>
    <w:rsid w:val="3E3005D6"/>
    <w:rsid w:val="3E5A6BC3"/>
    <w:rsid w:val="3F19726D"/>
    <w:rsid w:val="3F2C116D"/>
    <w:rsid w:val="3FC95C66"/>
    <w:rsid w:val="40447B75"/>
    <w:rsid w:val="408A551D"/>
    <w:rsid w:val="408E2649"/>
    <w:rsid w:val="41040824"/>
    <w:rsid w:val="41173BB2"/>
    <w:rsid w:val="41177C59"/>
    <w:rsid w:val="412273DF"/>
    <w:rsid w:val="4151510C"/>
    <w:rsid w:val="41570E3B"/>
    <w:rsid w:val="418E2735"/>
    <w:rsid w:val="41B16335"/>
    <w:rsid w:val="41C40A9B"/>
    <w:rsid w:val="41E15103"/>
    <w:rsid w:val="42862F3B"/>
    <w:rsid w:val="42B71375"/>
    <w:rsid w:val="42C106C0"/>
    <w:rsid w:val="43434B66"/>
    <w:rsid w:val="437D1CD3"/>
    <w:rsid w:val="43A216B9"/>
    <w:rsid w:val="43A7141B"/>
    <w:rsid w:val="43B16BCD"/>
    <w:rsid w:val="43CB2878"/>
    <w:rsid w:val="443B4A8A"/>
    <w:rsid w:val="44654EE2"/>
    <w:rsid w:val="44680124"/>
    <w:rsid w:val="447564E4"/>
    <w:rsid w:val="44A376C0"/>
    <w:rsid w:val="44B560F4"/>
    <w:rsid w:val="44C07FF8"/>
    <w:rsid w:val="44FA17FE"/>
    <w:rsid w:val="455E70CD"/>
    <w:rsid w:val="460B0C54"/>
    <w:rsid w:val="467D2FD5"/>
    <w:rsid w:val="47113FA0"/>
    <w:rsid w:val="472462CA"/>
    <w:rsid w:val="47381A53"/>
    <w:rsid w:val="474E3731"/>
    <w:rsid w:val="47A441BF"/>
    <w:rsid w:val="47A514C8"/>
    <w:rsid w:val="487402C3"/>
    <w:rsid w:val="48802506"/>
    <w:rsid w:val="48CB1D79"/>
    <w:rsid w:val="48CD5785"/>
    <w:rsid w:val="48E1477C"/>
    <w:rsid w:val="492C2650"/>
    <w:rsid w:val="493C368A"/>
    <w:rsid w:val="49550457"/>
    <w:rsid w:val="495761A7"/>
    <w:rsid w:val="49665907"/>
    <w:rsid w:val="49953404"/>
    <w:rsid w:val="49A33479"/>
    <w:rsid w:val="49B7581B"/>
    <w:rsid w:val="4A2C789B"/>
    <w:rsid w:val="4A336F49"/>
    <w:rsid w:val="4A4A2EEC"/>
    <w:rsid w:val="4AE4363C"/>
    <w:rsid w:val="4B085539"/>
    <w:rsid w:val="4B890A87"/>
    <w:rsid w:val="4BE610AE"/>
    <w:rsid w:val="4BF937FE"/>
    <w:rsid w:val="4C13078F"/>
    <w:rsid w:val="4C215F20"/>
    <w:rsid w:val="4C5A43D5"/>
    <w:rsid w:val="4C910415"/>
    <w:rsid w:val="4D5C525F"/>
    <w:rsid w:val="4D5E064A"/>
    <w:rsid w:val="4D9C2E7E"/>
    <w:rsid w:val="4DB85A75"/>
    <w:rsid w:val="4E1619B7"/>
    <w:rsid w:val="4E1C4505"/>
    <w:rsid w:val="4E617E64"/>
    <w:rsid w:val="4EDF081A"/>
    <w:rsid w:val="4F1F2F06"/>
    <w:rsid w:val="4F5D3E6A"/>
    <w:rsid w:val="4F6503A0"/>
    <w:rsid w:val="4F890599"/>
    <w:rsid w:val="4FAF67D1"/>
    <w:rsid w:val="4FDA6FB1"/>
    <w:rsid w:val="503D3476"/>
    <w:rsid w:val="50D85F33"/>
    <w:rsid w:val="512D575A"/>
    <w:rsid w:val="515949E9"/>
    <w:rsid w:val="51943592"/>
    <w:rsid w:val="51B80A41"/>
    <w:rsid w:val="51F14EB6"/>
    <w:rsid w:val="5255309B"/>
    <w:rsid w:val="52BF210C"/>
    <w:rsid w:val="52EA17CC"/>
    <w:rsid w:val="532165DC"/>
    <w:rsid w:val="540236AA"/>
    <w:rsid w:val="556826DA"/>
    <w:rsid w:val="556E6851"/>
    <w:rsid w:val="56192C54"/>
    <w:rsid w:val="56214664"/>
    <w:rsid w:val="56681DF1"/>
    <w:rsid w:val="568E4FEC"/>
    <w:rsid w:val="56992D98"/>
    <w:rsid w:val="570D10CC"/>
    <w:rsid w:val="574771DE"/>
    <w:rsid w:val="574C7C7B"/>
    <w:rsid w:val="57F724D6"/>
    <w:rsid w:val="58193C64"/>
    <w:rsid w:val="58C37F80"/>
    <w:rsid w:val="5955072B"/>
    <w:rsid w:val="59BB6B6E"/>
    <w:rsid w:val="59C97823"/>
    <w:rsid w:val="59FE5375"/>
    <w:rsid w:val="5A190EC4"/>
    <w:rsid w:val="5A6009E0"/>
    <w:rsid w:val="5AEC445A"/>
    <w:rsid w:val="5B386040"/>
    <w:rsid w:val="5CC150B7"/>
    <w:rsid w:val="5CFD68CB"/>
    <w:rsid w:val="5CFFDEC5"/>
    <w:rsid w:val="5D373AFA"/>
    <w:rsid w:val="5E092081"/>
    <w:rsid w:val="5E4A72BB"/>
    <w:rsid w:val="5E7944B7"/>
    <w:rsid w:val="5EA03D30"/>
    <w:rsid w:val="5ED32DAC"/>
    <w:rsid w:val="5F6C049F"/>
    <w:rsid w:val="600D3C96"/>
    <w:rsid w:val="604E3282"/>
    <w:rsid w:val="606B48D1"/>
    <w:rsid w:val="60743C50"/>
    <w:rsid w:val="60B53BFD"/>
    <w:rsid w:val="616946AA"/>
    <w:rsid w:val="62466F58"/>
    <w:rsid w:val="62A651DE"/>
    <w:rsid w:val="62BD21BB"/>
    <w:rsid w:val="62C342A0"/>
    <w:rsid w:val="63B745F1"/>
    <w:rsid w:val="63F964F3"/>
    <w:rsid w:val="6537556A"/>
    <w:rsid w:val="653A7A94"/>
    <w:rsid w:val="65672E18"/>
    <w:rsid w:val="65CC0E83"/>
    <w:rsid w:val="65EC7124"/>
    <w:rsid w:val="65FD6823"/>
    <w:rsid w:val="662A5172"/>
    <w:rsid w:val="664A3C8C"/>
    <w:rsid w:val="66726BD3"/>
    <w:rsid w:val="66E51DA8"/>
    <w:rsid w:val="66E5370B"/>
    <w:rsid w:val="68416A13"/>
    <w:rsid w:val="685D6D4D"/>
    <w:rsid w:val="686F0D50"/>
    <w:rsid w:val="68815E84"/>
    <w:rsid w:val="68B8300C"/>
    <w:rsid w:val="69227812"/>
    <w:rsid w:val="69944091"/>
    <w:rsid w:val="6A6F74A9"/>
    <w:rsid w:val="6B0F2DAB"/>
    <w:rsid w:val="6B4D171D"/>
    <w:rsid w:val="6B5371B9"/>
    <w:rsid w:val="6BB85F78"/>
    <w:rsid w:val="6BED78AE"/>
    <w:rsid w:val="6BF62462"/>
    <w:rsid w:val="6C242D61"/>
    <w:rsid w:val="6D1A68E5"/>
    <w:rsid w:val="6D3C170B"/>
    <w:rsid w:val="6DA67AFF"/>
    <w:rsid w:val="6E010726"/>
    <w:rsid w:val="6E163252"/>
    <w:rsid w:val="6F135642"/>
    <w:rsid w:val="6F9B6B47"/>
    <w:rsid w:val="71CA02E9"/>
    <w:rsid w:val="71DE7E4F"/>
    <w:rsid w:val="72E12604"/>
    <w:rsid w:val="730E14F5"/>
    <w:rsid w:val="73686EC4"/>
    <w:rsid w:val="738D1A95"/>
    <w:rsid w:val="73B4353A"/>
    <w:rsid w:val="74346208"/>
    <w:rsid w:val="74567E84"/>
    <w:rsid w:val="74816E33"/>
    <w:rsid w:val="750C5C01"/>
    <w:rsid w:val="751A3B8B"/>
    <w:rsid w:val="753478A7"/>
    <w:rsid w:val="75407137"/>
    <w:rsid w:val="755546CC"/>
    <w:rsid w:val="757351D9"/>
    <w:rsid w:val="75E85E37"/>
    <w:rsid w:val="75F53D22"/>
    <w:rsid w:val="761F4406"/>
    <w:rsid w:val="765E1E3F"/>
    <w:rsid w:val="76CC592C"/>
    <w:rsid w:val="77897B1A"/>
    <w:rsid w:val="779C7163"/>
    <w:rsid w:val="77F4681E"/>
    <w:rsid w:val="78295319"/>
    <w:rsid w:val="7830697B"/>
    <w:rsid w:val="78B54CBA"/>
    <w:rsid w:val="78CD0301"/>
    <w:rsid w:val="78D25037"/>
    <w:rsid w:val="79471DB3"/>
    <w:rsid w:val="79582FC1"/>
    <w:rsid w:val="799507EA"/>
    <w:rsid w:val="79A22C90"/>
    <w:rsid w:val="7AA05504"/>
    <w:rsid w:val="7AA94FEA"/>
    <w:rsid w:val="7ADC64B7"/>
    <w:rsid w:val="7AED0FC9"/>
    <w:rsid w:val="7AF62AD6"/>
    <w:rsid w:val="7AF7698D"/>
    <w:rsid w:val="7B2811B1"/>
    <w:rsid w:val="7BC508C1"/>
    <w:rsid w:val="7DC0215C"/>
    <w:rsid w:val="7DC07C47"/>
    <w:rsid w:val="7DDC2CA7"/>
    <w:rsid w:val="7E457C43"/>
    <w:rsid w:val="7EAC6E27"/>
    <w:rsid w:val="7EDA7985"/>
    <w:rsid w:val="7F342856"/>
    <w:rsid w:val="7F6712DC"/>
    <w:rsid w:val="7FF101C8"/>
    <w:rsid w:val="8E72319E"/>
    <w:rsid w:val="DFD68B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1" w:semiHidden="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99"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4"/>
    <w:next w:val="1"/>
    <w:qFormat/>
    <w:uiPriority w:val="0"/>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5">
    <w:name w:val="heading 2"/>
    <w:basedOn w:val="1"/>
    <w:next w:val="1"/>
    <w:link w:val="44"/>
    <w:qFormat/>
    <w:uiPriority w:val="0"/>
    <w:pPr>
      <w:keepNext/>
      <w:keepLines/>
      <w:spacing w:before="260" w:after="260" w:line="416" w:lineRule="auto"/>
      <w:outlineLvl w:val="1"/>
    </w:pPr>
    <w:rPr>
      <w:rFonts w:ascii="Arial" w:hAnsi="Arial" w:eastAsia="黑体" w:cs="Times New Roman"/>
      <w:b/>
      <w:bCs/>
      <w:sz w:val="32"/>
      <w:szCs w:val="32"/>
    </w:rPr>
  </w:style>
  <w:style w:type="paragraph" w:styleId="6">
    <w:name w:val="heading 3"/>
    <w:basedOn w:val="4"/>
    <w:next w:val="1"/>
    <w:qFormat/>
    <w:uiPriority w:val="0"/>
    <w:pPr>
      <w:keepNext/>
      <w:keepLines/>
      <w:spacing w:before="260" w:after="260" w:line="416" w:lineRule="auto"/>
      <w:outlineLvl w:val="2"/>
    </w:pPr>
    <w:rPr>
      <w:rFonts w:ascii="Times New Roman" w:hAnsi="Times New Roman" w:eastAsia="宋体" w:cs="Times New Roman"/>
      <w:b/>
      <w:bCs/>
      <w:sz w:val="32"/>
      <w:szCs w:val="32"/>
    </w:rPr>
  </w:style>
  <w:style w:type="paragraph" w:styleId="7">
    <w:name w:val="heading 4"/>
    <w:basedOn w:val="1"/>
    <w:next w:val="1"/>
    <w:qFormat/>
    <w:uiPriority w:val="1"/>
    <w:pPr>
      <w:ind w:left="1540"/>
      <w:outlineLvl w:val="3"/>
    </w:pPr>
    <w:rPr>
      <w:rFonts w:ascii="黑体" w:hAnsi="黑体" w:eastAsia="黑体" w:cs="黑体"/>
      <w:b/>
      <w:bCs/>
      <w:sz w:val="28"/>
      <w:szCs w:val="28"/>
      <w:lang w:val="zh-CN" w:bidi="zh-CN"/>
    </w:rPr>
  </w:style>
  <w:style w:type="paragraph" w:styleId="8">
    <w:name w:val="heading 5"/>
    <w:basedOn w:val="1"/>
    <w:next w:val="1"/>
    <w:qFormat/>
    <w:uiPriority w:val="1"/>
    <w:pPr>
      <w:ind w:left="1540"/>
      <w:outlineLvl w:val="4"/>
    </w:pPr>
    <w:rPr>
      <w:rFonts w:ascii="宋体" w:hAnsi="宋体" w:cs="宋体"/>
      <w:b/>
      <w:bCs/>
      <w:sz w:val="24"/>
      <w:lang w:val="zh-CN" w:bidi="zh-CN"/>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line="480" w:lineRule="exact"/>
    </w:pPr>
    <w:rPr>
      <w:rFonts w:ascii="仿宋_GB2312" w:hAnsi="Times New Roman" w:eastAsia="仿宋_GB2312"/>
      <w:sz w:val="28"/>
      <w:szCs w:val="28"/>
    </w:rPr>
  </w:style>
  <w:style w:type="paragraph" w:styleId="4">
    <w:name w:val="No Spacing"/>
    <w:next w:val="1"/>
    <w:qFormat/>
    <w:uiPriority w:val="1"/>
    <w:pPr>
      <w:widowControl w:val="0"/>
      <w:spacing w:line="360" w:lineRule="auto"/>
    </w:pPr>
    <w:rPr>
      <w:rFonts w:asciiTheme="minorHAnsi" w:hAnsiTheme="minorHAnsi" w:eastAsiaTheme="minorEastAsia" w:cstheme="minorBidi"/>
      <w:kern w:val="2"/>
      <w:sz w:val="24"/>
      <w:szCs w:val="21"/>
      <w:lang w:val="en-US" w:eastAsia="zh-CN" w:bidi="ar-SA"/>
    </w:rPr>
  </w:style>
  <w:style w:type="paragraph" w:styleId="9">
    <w:name w:val="index 8"/>
    <w:basedOn w:val="1"/>
    <w:next w:val="1"/>
    <w:qFormat/>
    <w:uiPriority w:val="0"/>
    <w:pPr>
      <w:spacing w:line="276" w:lineRule="auto"/>
      <w:jc w:val="left"/>
    </w:pPr>
    <w:rPr>
      <w:rFonts w:ascii="宋体" w:hAnsi="宋体"/>
      <w:color w:val="FF0000"/>
      <w:szCs w:val="21"/>
    </w:rPr>
  </w:style>
  <w:style w:type="paragraph" w:styleId="10">
    <w:name w:val="Normal Indent"/>
    <w:basedOn w:val="1"/>
    <w:qFormat/>
    <w:uiPriority w:val="0"/>
    <w:pPr>
      <w:ind w:firstLine="420" w:firstLineChars="200"/>
    </w:pPr>
  </w:style>
  <w:style w:type="paragraph" w:styleId="11">
    <w:name w:val="Body Text Indent"/>
    <w:basedOn w:val="1"/>
    <w:qFormat/>
    <w:uiPriority w:val="0"/>
    <w:pPr>
      <w:ind w:firstLine="630"/>
    </w:pPr>
    <w:rPr>
      <w:sz w:val="32"/>
      <w:szCs w:val="20"/>
    </w:rPr>
  </w:style>
  <w:style w:type="paragraph" w:styleId="12">
    <w:name w:val="Plain Text"/>
    <w:basedOn w:val="1"/>
    <w:qFormat/>
    <w:uiPriority w:val="0"/>
    <w:pPr>
      <w:autoSpaceDE w:val="0"/>
      <w:autoSpaceDN w:val="0"/>
      <w:adjustRightInd w:val="0"/>
    </w:pPr>
    <w:rPr>
      <w:rFonts w:ascii="宋体" w:hAnsi="Tms Rmn"/>
      <w:kern w:val="0"/>
      <w:szCs w:val="20"/>
    </w:rPr>
  </w:style>
  <w:style w:type="paragraph" w:styleId="13">
    <w:name w:val="Body Text Indent 2"/>
    <w:basedOn w:val="1"/>
    <w:qFormat/>
    <w:uiPriority w:val="0"/>
    <w:pPr>
      <w:spacing w:after="120" w:line="480" w:lineRule="auto"/>
      <w:ind w:left="420" w:leftChars="200"/>
    </w:pPr>
    <w:rPr>
      <w:rFonts w:ascii="Times New Roman" w:hAnsi="Times New Roman"/>
    </w:rPr>
  </w:style>
  <w:style w:type="paragraph" w:styleId="14">
    <w:name w:val="Balloon Text"/>
    <w:basedOn w:val="1"/>
    <w:link w:val="32"/>
    <w:qFormat/>
    <w:uiPriority w:val="0"/>
    <w:rPr>
      <w:sz w:val="18"/>
      <w:szCs w:val="18"/>
    </w:rPr>
  </w:style>
  <w:style w:type="paragraph" w:styleId="15">
    <w:name w:val="footer"/>
    <w:basedOn w:val="1"/>
    <w:qFormat/>
    <w:uiPriority w:val="0"/>
    <w:pPr>
      <w:tabs>
        <w:tab w:val="center" w:pos="4153"/>
        <w:tab w:val="right" w:pos="8306"/>
      </w:tabs>
      <w:snapToGrid w:val="0"/>
      <w:jc w:val="left"/>
    </w:pPr>
    <w:rPr>
      <w:sz w:val="18"/>
      <w:szCs w:val="20"/>
    </w:rPr>
  </w:style>
  <w:style w:type="paragraph" w:styleId="16">
    <w:name w:val="header"/>
    <w:basedOn w:val="1"/>
    <w:qFormat/>
    <w:uiPriority w:val="0"/>
    <w:pPr>
      <w:pBdr>
        <w:bottom w:val="single" w:color="auto" w:sz="6" w:space="1"/>
      </w:pBdr>
      <w:tabs>
        <w:tab w:val="center" w:pos="4153"/>
        <w:tab w:val="right" w:pos="8306"/>
      </w:tabs>
      <w:snapToGrid w:val="0"/>
      <w:jc w:val="center"/>
    </w:pPr>
    <w:rPr>
      <w:sz w:val="18"/>
      <w:szCs w:val="20"/>
    </w:rPr>
  </w:style>
  <w:style w:type="paragraph" w:styleId="17">
    <w:name w:val="Normal (Web)"/>
    <w:basedOn w:val="1"/>
    <w:qFormat/>
    <w:uiPriority w:val="0"/>
    <w:pPr>
      <w:widowControl/>
      <w:spacing w:before="100" w:beforeAutospacing="1" w:after="100" w:afterAutospacing="1"/>
      <w:jc w:val="left"/>
    </w:pPr>
    <w:rPr>
      <w:rFonts w:ascii="宋体" w:hAnsi="宋体"/>
      <w:kern w:val="0"/>
      <w:sz w:val="18"/>
      <w:szCs w:val="18"/>
    </w:rPr>
  </w:style>
  <w:style w:type="paragraph" w:styleId="18">
    <w:name w:val="Body Text First Indent"/>
    <w:basedOn w:val="2"/>
    <w:qFormat/>
    <w:uiPriority w:val="0"/>
    <w:pPr>
      <w:snapToGrid w:val="0"/>
      <w:spacing w:before="40" w:after="40" w:line="288" w:lineRule="auto"/>
      <w:ind w:firstLine="482"/>
    </w:pPr>
    <w:rPr>
      <w:rFonts w:ascii="仿宋_GB2312" w:eastAsia="仿宋_GB2312"/>
      <w:sz w:val="28"/>
      <w:szCs w:val="20"/>
    </w:rPr>
  </w:style>
  <w:style w:type="table" w:styleId="20">
    <w:name w:val="Table Grid"/>
    <w:basedOn w:val="19"/>
    <w:qFormat/>
    <w:uiPriority w:val="9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page number"/>
    <w:basedOn w:val="21"/>
    <w:qFormat/>
    <w:uiPriority w:val="0"/>
    <w:rPr>
      <w:rFonts w:ascii="Times New Roman" w:hAnsi="Times New Roman" w:eastAsia="宋体" w:cs="Times New Roman"/>
    </w:rPr>
  </w:style>
  <w:style w:type="character" w:styleId="23">
    <w:name w:val="Hyperlink"/>
    <w:basedOn w:val="21"/>
    <w:qFormat/>
    <w:uiPriority w:val="0"/>
    <w:rPr>
      <w:rFonts w:ascii="Times New Roman" w:hAnsi="Times New Roman" w:eastAsia="宋体" w:cs="Times New Roman"/>
      <w:color w:val="333333"/>
      <w:u w:val="none"/>
    </w:rPr>
  </w:style>
  <w:style w:type="paragraph" w:customStyle="1" w:styleId="24">
    <w:name w:val="WPSOffice手动目录 1"/>
    <w:qFormat/>
    <w:uiPriority w:val="0"/>
    <w:rPr>
      <w:rFonts w:ascii="Calibri" w:hAnsi="Calibri" w:eastAsia="宋体" w:cs="Times New Roman"/>
      <w:lang w:val="en-US" w:eastAsia="zh-CN" w:bidi="ar-SA"/>
    </w:rPr>
  </w:style>
  <w:style w:type="paragraph" w:customStyle="1" w:styleId="25">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26">
    <w:name w:val="Table Paragraph"/>
    <w:basedOn w:val="1"/>
    <w:qFormat/>
    <w:uiPriority w:val="0"/>
    <w:rPr>
      <w:rFonts w:ascii="宋体" w:hAnsi="宋体" w:cs="宋体"/>
      <w:lang w:val="zh-CN" w:bidi="zh-CN"/>
    </w:rPr>
  </w:style>
  <w:style w:type="paragraph" w:customStyle="1" w:styleId="27">
    <w:name w:val="正文1"/>
    <w:qFormat/>
    <w:uiPriority w:val="0"/>
    <w:pPr>
      <w:widowControl w:val="0"/>
      <w:adjustRightInd w:val="0"/>
      <w:spacing w:line="312" w:lineRule="atLeast"/>
      <w:jc w:val="both"/>
      <w:textAlignment w:val="baseline"/>
    </w:pPr>
    <w:rPr>
      <w:rFonts w:ascii="宋体" w:hAnsi="Calibri" w:eastAsia="宋体" w:cs="Times New Roman"/>
      <w:sz w:val="34"/>
      <w:lang w:val="en-US" w:eastAsia="zh-CN" w:bidi="ar-SA"/>
    </w:rPr>
  </w:style>
  <w:style w:type="paragraph" w:customStyle="1" w:styleId="28">
    <w:name w:val="正文首行缩进两字符"/>
    <w:basedOn w:val="1"/>
    <w:qFormat/>
    <w:uiPriority w:val="0"/>
    <w:pPr>
      <w:spacing w:line="360" w:lineRule="auto"/>
      <w:ind w:firstLine="200" w:firstLineChars="200"/>
    </w:pPr>
    <w:rPr>
      <w:rFonts w:ascii="Times New Roman" w:hAnsi="Times New Roman"/>
    </w:rPr>
  </w:style>
  <w:style w:type="paragraph" w:customStyle="1" w:styleId="29">
    <w:name w:val="列出段落1"/>
    <w:basedOn w:val="1"/>
    <w:qFormat/>
    <w:uiPriority w:val="0"/>
    <w:pPr>
      <w:ind w:firstLine="420" w:firstLineChars="200"/>
    </w:pPr>
  </w:style>
  <w:style w:type="paragraph" w:customStyle="1" w:styleId="30">
    <w:name w:val="正文2"/>
    <w:qFormat/>
    <w:uiPriority w:val="0"/>
    <w:pPr>
      <w:jc w:val="both"/>
    </w:pPr>
    <w:rPr>
      <w:rFonts w:ascii="Times New Roman" w:hAnsi="Times New Roman" w:eastAsia="宋体" w:cs="Times New Roman"/>
      <w:kern w:val="2"/>
      <w:sz w:val="21"/>
      <w:szCs w:val="21"/>
      <w:lang w:val="en-US" w:eastAsia="zh-CN" w:bidi="ar-SA"/>
    </w:rPr>
  </w:style>
  <w:style w:type="character" w:customStyle="1" w:styleId="31">
    <w:name w:val="标题 2 Char"/>
    <w:link w:val="5"/>
    <w:qFormat/>
    <w:uiPriority w:val="0"/>
    <w:rPr>
      <w:rFonts w:ascii="Arial" w:hAnsi="Arial" w:eastAsia="黑体" w:cs="Times New Roman"/>
      <w:b/>
      <w:bCs/>
      <w:sz w:val="32"/>
      <w:szCs w:val="32"/>
    </w:rPr>
  </w:style>
  <w:style w:type="character" w:customStyle="1" w:styleId="32">
    <w:name w:val="批注框文本 Char"/>
    <w:basedOn w:val="21"/>
    <w:link w:val="14"/>
    <w:qFormat/>
    <w:uiPriority w:val="0"/>
    <w:rPr>
      <w:rFonts w:ascii="Calibri" w:hAnsi="Calibri" w:eastAsia="宋体" w:cs="Times New Roman"/>
      <w:kern w:val="2"/>
      <w:sz w:val="18"/>
      <w:szCs w:val="18"/>
    </w:rPr>
  </w:style>
  <w:style w:type="paragraph" w:customStyle="1" w:styleId="33">
    <w:name w:val="*正文"/>
    <w:basedOn w:val="1"/>
    <w:qFormat/>
    <w:uiPriority w:val="0"/>
    <w:pPr>
      <w:widowControl/>
      <w:spacing w:line="360" w:lineRule="auto"/>
      <w:ind w:firstLine="200" w:firstLineChars="200"/>
      <w:jc w:val="left"/>
    </w:pPr>
    <w:rPr>
      <w:rFonts w:ascii="仿宋_GB2312" w:hAnsi="宋体" w:eastAsia="仿宋_GB2312"/>
      <w:kern w:val="0"/>
      <w:sz w:val="24"/>
    </w:rPr>
  </w:style>
  <w:style w:type="character" w:customStyle="1" w:styleId="34">
    <w:name w:val="font21"/>
    <w:basedOn w:val="21"/>
    <w:qFormat/>
    <w:uiPriority w:val="0"/>
    <w:rPr>
      <w:rFonts w:hint="eastAsia" w:ascii="宋体" w:hAnsi="宋体" w:eastAsia="宋体" w:cs="宋体"/>
      <w:color w:val="000000"/>
      <w:sz w:val="24"/>
      <w:szCs w:val="24"/>
      <w:u w:val="none"/>
    </w:rPr>
  </w:style>
  <w:style w:type="character" w:customStyle="1" w:styleId="35">
    <w:name w:val="font41"/>
    <w:basedOn w:val="21"/>
    <w:qFormat/>
    <w:uiPriority w:val="0"/>
    <w:rPr>
      <w:rFonts w:hint="default" w:ascii="Times New Roman" w:hAnsi="Times New Roman" w:cs="Times New Roman"/>
      <w:b/>
      <w:color w:val="000000"/>
      <w:sz w:val="32"/>
      <w:szCs w:val="32"/>
      <w:u w:val="none"/>
    </w:rPr>
  </w:style>
  <w:style w:type="character" w:customStyle="1" w:styleId="36">
    <w:name w:val="font31"/>
    <w:basedOn w:val="21"/>
    <w:qFormat/>
    <w:uiPriority w:val="0"/>
    <w:rPr>
      <w:rFonts w:hint="eastAsia" w:ascii="宋体" w:hAnsi="宋体" w:eastAsia="宋体" w:cs="宋体"/>
      <w:b/>
      <w:color w:val="000000"/>
      <w:sz w:val="32"/>
      <w:szCs w:val="32"/>
      <w:u w:val="none"/>
    </w:rPr>
  </w:style>
  <w:style w:type="character" w:customStyle="1" w:styleId="37">
    <w:name w:val="font71"/>
    <w:basedOn w:val="21"/>
    <w:qFormat/>
    <w:uiPriority w:val="0"/>
    <w:rPr>
      <w:rFonts w:hint="default" w:ascii="Times New Roman" w:hAnsi="Times New Roman" w:cs="Times New Roman"/>
      <w:color w:val="000000"/>
      <w:sz w:val="24"/>
      <w:szCs w:val="24"/>
      <w:u w:val="none"/>
    </w:rPr>
  </w:style>
  <w:style w:type="character" w:customStyle="1" w:styleId="38">
    <w:name w:val="font11"/>
    <w:basedOn w:val="21"/>
    <w:qFormat/>
    <w:uiPriority w:val="0"/>
    <w:rPr>
      <w:rFonts w:hint="eastAsia" w:ascii="宋体" w:hAnsi="宋体" w:eastAsia="宋体" w:cs="宋体"/>
      <w:color w:val="000000"/>
      <w:sz w:val="24"/>
      <w:szCs w:val="24"/>
      <w:u w:val="none"/>
    </w:rPr>
  </w:style>
  <w:style w:type="character" w:customStyle="1" w:styleId="39">
    <w:name w:val="font61"/>
    <w:basedOn w:val="21"/>
    <w:qFormat/>
    <w:uiPriority w:val="0"/>
    <w:rPr>
      <w:rFonts w:hint="eastAsia" w:ascii="宋体" w:hAnsi="宋体" w:eastAsia="宋体" w:cs="宋体"/>
      <w:color w:val="000000"/>
      <w:sz w:val="24"/>
      <w:szCs w:val="24"/>
      <w:u w:val="none"/>
    </w:rPr>
  </w:style>
  <w:style w:type="paragraph" w:styleId="40">
    <w:name w:val="List Paragraph"/>
    <w:basedOn w:val="1"/>
    <w:qFormat/>
    <w:uiPriority w:val="0"/>
    <w:pPr>
      <w:ind w:firstLine="420" w:firstLineChars="200"/>
    </w:pPr>
  </w:style>
  <w:style w:type="paragraph" w:customStyle="1" w:styleId="41">
    <w:name w:val="01、普通正文"/>
    <w:basedOn w:val="1"/>
    <w:qFormat/>
    <w:uiPriority w:val="0"/>
    <w:pPr>
      <w:tabs>
        <w:tab w:val="left" w:pos="0"/>
      </w:tabs>
      <w:wordWrap w:val="0"/>
      <w:topLinePunct/>
    </w:pPr>
    <w:rPr>
      <w:snapToGrid w:val="0"/>
    </w:rPr>
  </w:style>
  <w:style w:type="paragraph" w:customStyle="1" w:styleId="42">
    <w:name w:val="13、表格内居中正文"/>
    <w:basedOn w:val="1"/>
    <w:qFormat/>
    <w:uiPriority w:val="0"/>
    <w:pPr>
      <w:tabs>
        <w:tab w:val="left" w:pos="0"/>
      </w:tabs>
      <w:wordWrap w:val="0"/>
      <w:topLinePunct/>
      <w:spacing w:line="360" w:lineRule="exact"/>
      <w:jc w:val="center"/>
    </w:pPr>
  </w:style>
  <w:style w:type="paragraph" w:customStyle="1" w:styleId="43">
    <w:name w:val="12、表格内左对齐正文"/>
    <w:basedOn w:val="1"/>
    <w:qFormat/>
    <w:uiPriority w:val="0"/>
    <w:pPr>
      <w:tabs>
        <w:tab w:val="left" w:pos="0"/>
      </w:tabs>
      <w:wordWrap w:val="0"/>
      <w:topLinePunct/>
      <w:spacing w:line="360" w:lineRule="exact"/>
      <w:ind w:left="48" w:leftChars="20"/>
    </w:pPr>
    <w:rPr>
      <w:snapToGrid w:val="0"/>
    </w:rPr>
  </w:style>
  <w:style w:type="character" w:customStyle="1" w:styleId="44">
    <w:name w:val="标题 2 字符"/>
    <w:link w:val="5"/>
    <w:qFormat/>
    <w:uiPriority w:val="0"/>
    <w:rPr>
      <w:rFonts w:ascii="Arial" w:hAnsi="Arial" w:eastAsia="黑体" w:cs="Times New Roman"/>
      <w:b/>
      <w:bCs/>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78</Pages>
  <Words>38322</Words>
  <Characters>6820</Characters>
  <Lines>56</Lines>
  <Paragraphs>90</Paragraphs>
  <TotalTime>1</TotalTime>
  <ScaleCrop>false</ScaleCrop>
  <LinksUpToDate>false</LinksUpToDate>
  <CharactersWithSpaces>45052</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2019-10-11T11:00:00Z</dcterms:created>
  <dc:creator>Administrator</dc:creator>
  <cp:lastModifiedBy>浩子包包</cp:lastModifiedBy>
  <cp:lastPrinted>2020-05-06T01:46:00Z</cp:lastPrinted>
  <dcterms:modified xsi:type="dcterms:W3CDTF">2022-01-17T09:12:20Z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5A9D411357AD44A599B9EE8BEB476EAD</vt:lpwstr>
  </property>
</Properties>
</file>