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eastAsia="华文中宋"/>
          <w:b/>
          <w:bCs/>
          <w:color w:val="000000"/>
          <w:sz w:val="28"/>
          <w:szCs w:val="28"/>
        </w:rPr>
      </w:pPr>
    </w:p>
    <w:p>
      <w:pPr>
        <w:spacing w:line="360" w:lineRule="auto"/>
        <w:jc w:val="center"/>
        <w:rPr>
          <w:rFonts w:eastAsia="华文中宋"/>
          <w:b/>
          <w:bCs/>
          <w:color w:val="000000"/>
          <w:sz w:val="28"/>
          <w:szCs w:val="28"/>
        </w:rPr>
      </w:pPr>
    </w:p>
    <w:p>
      <w:pPr>
        <w:spacing w:line="360" w:lineRule="auto"/>
        <w:jc w:val="center"/>
        <w:rPr>
          <w:rFonts w:eastAsia="华文中宋"/>
          <w:b/>
          <w:bCs/>
          <w:color w:val="000000"/>
          <w:sz w:val="28"/>
          <w:szCs w:val="28"/>
        </w:rPr>
      </w:pPr>
    </w:p>
    <w:p>
      <w:pPr>
        <w:spacing w:line="360" w:lineRule="auto"/>
        <w:jc w:val="center"/>
        <w:rPr>
          <w:rFonts w:eastAsia="华文中宋"/>
          <w:b/>
          <w:bCs/>
          <w:color w:val="000000"/>
          <w:sz w:val="28"/>
          <w:szCs w:val="28"/>
        </w:rPr>
      </w:pPr>
    </w:p>
    <w:p>
      <w:pPr>
        <w:spacing w:line="360" w:lineRule="auto"/>
        <w:jc w:val="center"/>
        <w:rPr>
          <w:rFonts w:eastAsia="华文中宋"/>
          <w:b/>
          <w:bCs/>
          <w:color w:val="000000"/>
          <w:sz w:val="28"/>
          <w:szCs w:val="28"/>
        </w:rPr>
      </w:pPr>
    </w:p>
    <w:p>
      <w:pPr>
        <w:spacing w:line="360" w:lineRule="auto"/>
        <w:jc w:val="center"/>
        <w:rPr>
          <w:rFonts w:asciiTheme="minorEastAsia" w:hAnsiTheme="minorEastAsia" w:eastAsiaTheme="minorEastAsia"/>
          <w:b/>
          <w:bCs/>
          <w:color w:val="000000"/>
          <w:sz w:val="52"/>
          <w:szCs w:val="52"/>
        </w:rPr>
      </w:pPr>
      <w:r>
        <w:rPr>
          <w:rFonts w:hint="eastAsia" w:asciiTheme="minorEastAsia" w:hAnsiTheme="minorEastAsia" w:eastAsiaTheme="minorEastAsia"/>
          <w:b/>
          <w:bCs/>
          <w:color w:val="000000"/>
          <w:sz w:val="52"/>
          <w:szCs w:val="52"/>
        </w:rPr>
        <w:t>成都蒙彼利埃小学</w:t>
      </w:r>
    </w:p>
    <w:p>
      <w:pPr>
        <w:spacing w:line="360" w:lineRule="auto"/>
        <w:jc w:val="center"/>
        <w:rPr>
          <w:rFonts w:asciiTheme="minorEastAsia" w:hAnsiTheme="minorEastAsia" w:eastAsiaTheme="minorEastAsia"/>
          <w:b/>
          <w:bCs/>
          <w:color w:val="000000"/>
          <w:sz w:val="52"/>
          <w:szCs w:val="52"/>
        </w:rPr>
      </w:pPr>
      <w:r>
        <w:rPr>
          <w:rFonts w:hint="eastAsia" w:asciiTheme="minorEastAsia" w:hAnsiTheme="minorEastAsia" w:eastAsiaTheme="minorEastAsia"/>
          <w:b/>
          <w:bCs/>
          <w:color w:val="000000"/>
          <w:sz w:val="52"/>
          <w:szCs w:val="52"/>
        </w:rPr>
        <w:t xml:space="preserve"> 三年发展规划(修改稿)</w:t>
      </w:r>
    </w:p>
    <w:p>
      <w:pPr>
        <w:spacing w:line="360" w:lineRule="auto"/>
        <w:jc w:val="center"/>
        <w:rPr>
          <w:rFonts w:asciiTheme="minorEastAsia" w:hAnsiTheme="minorEastAsia" w:eastAsiaTheme="minorEastAsia"/>
          <w:b/>
          <w:bCs/>
          <w:color w:val="000000"/>
          <w:sz w:val="52"/>
          <w:szCs w:val="52"/>
        </w:rPr>
      </w:pPr>
    </w:p>
    <w:p>
      <w:pPr>
        <w:spacing w:line="360" w:lineRule="auto"/>
        <w:jc w:val="center"/>
        <w:rPr>
          <w:rFonts w:asciiTheme="minorEastAsia" w:hAnsiTheme="minorEastAsia" w:eastAsiaTheme="minorEastAsia"/>
          <w:b/>
          <w:bCs/>
          <w:color w:val="000000"/>
          <w:sz w:val="52"/>
          <w:szCs w:val="52"/>
        </w:rPr>
      </w:pPr>
    </w:p>
    <w:p>
      <w:pPr>
        <w:spacing w:line="360" w:lineRule="auto"/>
        <w:jc w:val="center"/>
        <w:rPr>
          <w:rFonts w:asciiTheme="minorEastAsia" w:hAnsiTheme="minorEastAsia" w:eastAsiaTheme="minorEastAsia"/>
          <w:b/>
          <w:bCs/>
          <w:color w:val="000000"/>
          <w:sz w:val="52"/>
          <w:szCs w:val="52"/>
        </w:rPr>
      </w:pPr>
    </w:p>
    <w:p>
      <w:pPr>
        <w:spacing w:line="360" w:lineRule="auto"/>
        <w:jc w:val="center"/>
        <w:rPr>
          <w:rFonts w:asciiTheme="minorEastAsia" w:hAnsiTheme="minorEastAsia" w:eastAsiaTheme="minorEastAsia"/>
          <w:b/>
          <w:bCs/>
          <w:color w:val="000000"/>
          <w:sz w:val="52"/>
          <w:szCs w:val="52"/>
        </w:rPr>
      </w:pPr>
    </w:p>
    <w:p>
      <w:pPr>
        <w:spacing w:line="360" w:lineRule="auto"/>
        <w:jc w:val="center"/>
        <w:rPr>
          <w:rFonts w:asciiTheme="minorEastAsia" w:hAnsiTheme="minorEastAsia" w:eastAsiaTheme="minorEastAsia"/>
          <w:b/>
          <w:bCs/>
          <w:color w:val="000000"/>
          <w:sz w:val="52"/>
          <w:szCs w:val="52"/>
        </w:rPr>
      </w:pPr>
    </w:p>
    <w:p>
      <w:pPr>
        <w:spacing w:line="360" w:lineRule="auto"/>
        <w:jc w:val="center"/>
        <w:rPr>
          <w:rFonts w:asciiTheme="minorEastAsia" w:hAnsiTheme="minorEastAsia" w:eastAsiaTheme="minorEastAsia"/>
          <w:b/>
          <w:bCs/>
          <w:color w:val="000000"/>
          <w:sz w:val="52"/>
          <w:szCs w:val="52"/>
        </w:rPr>
      </w:pPr>
      <w:r>
        <w:rPr>
          <w:rFonts w:asciiTheme="minorEastAsia" w:hAnsiTheme="minorEastAsia" w:eastAsiaTheme="minorEastAsia"/>
          <w:b/>
          <w:bCs/>
          <w:color w:val="000000"/>
          <w:sz w:val="52"/>
          <w:szCs w:val="52"/>
        </w:rPr>
        <w:t>201</w:t>
      </w:r>
      <w:r>
        <w:rPr>
          <w:rFonts w:hint="eastAsia" w:asciiTheme="minorEastAsia" w:hAnsiTheme="minorEastAsia" w:eastAsiaTheme="minorEastAsia"/>
          <w:b/>
          <w:bCs/>
          <w:color w:val="000000"/>
          <w:sz w:val="52"/>
          <w:szCs w:val="52"/>
          <w:lang w:val="en-US" w:eastAsia="zh-CN"/>
        </w:rPr>
        <w:t>7</w:t>
      </w:r>
      <w:r>
        <w:rPr>
          <w:rFonts w:asciiTheme="minorEastAsia" w:hAnsiTheme="minorEastAsia" w:eastAsiaTheme="minorEastAsia"/>
          <w:b/>
          <w:bCs/>
          <w:color w:val="000000"/>
          <w:sz w:val="52"/>
          <w:szCs w:val="52"/>
        </w:rPr>
        <w:t>.9-20</w:t>
      </w:r>
      <w:r>
        <w:rPr>
          <w:rFonts w:hint="eastAsia" w:asciiTheme="minorEastAsia" w:hAnsiTheme="minorEastAsia" w:eastAsiaTheme="minorEastAsia"/>
          <w:b/>
          <w:bCs/>
          <w:color w:val="000000"/>
          <w:sz w:val="52"/>
          <w:szCs w:val="52"/>
          <w:lang w:val="en-US" w:eastAsia="zh-CN"/>
        </w:rPr>
        <w:t>20</w:t>
      </w:r>
      <w:r>
        <w:rPr>
          <w:rFonts w:asciiTheme="minorEastAsia" w:hAnsiTheme="minorEastAsia" w:eastAsiaTheme="minorEastAsia"/>
          <w:b/>
          <w:bCs/>
          <w:color w:val="000000"/>
          <w:sz w:val="52"/>
          <w:szCs w:val="52"/>
        </w:rPr>
        <w:t>.6</w:t>
      </w:r>
    </w:p>
    <w:p>
      <w:pPr>
        <w:spacing w:line="360" w:lineRule="auto"/>
        <w:rPr>
          <w:color w:val="000000"/>
          <w:sz w:val="28"/>
          <w:szCs w:val="28"/>
        </w:rPr>
      </w:pPr>
    </w:p>
    <w:p>
      <w:pPr>
        <w:spacing w:line="360" w:lineRule="auto"/>
        <w:rPr>
          <w:rFonts w:eastAsia="黑体"/>
          <w:color w:val="000000"/>
          <w:sz w:val="28"/>
          <w:szCs w:val="28"/>
        </w:rPr>
      </w:pPr>
      <w:r>
        <w:rPr>
          <w:rFonts w:eastAsia="黑体"/>
          <w:color w:val="000000"/>
          <w:sz w:val="28"/>
          <w:szCs w:val="28"/>
        </w:rPr>
        <w:br w:type="page"/>
      </w:r>
    </w:p>
    <w:p>
      <w:pPr>
        <w:spacing w:line="5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【前  言】</w:t>
      </w:r>
    </w:p>
    <w:p>
      <w:pPr>
        <w:spacing w:line="520" w:lineRule="exact"/>
        <w:ind w:firstLine="560" w:firstLineChars="200"/>
        <w:rPr>
          <w:rFonts w:ascii="楷体_GB2312" w:eastAsia="楷体_GB2312" w:cs="楷体" w:hAnsiTheme="minorEastAsia"/>
          <w:color w:val="000000"/>
          <w:sz w:val="28"/>
          <w:szCs w:val="28"/>
        </w:rPr>
      </w:pPr>
      <w:r>
        <w:rPr>
          <w:rFonts w:hint="eastAsia" w:ascii="楷体_GB2312" w:eastAsia="楷体_GB2312" w:cs="楷体" w:hAnsiTheme="minorEastAsia"/>
          <w:color w:val="000000"/>
          <w:sz w:val="28"/>
          <w:szCs w:val="28"/>
        </w:rPr>
        <w:t>2014年9月起，成都蒙彼利埃小学落户高新区，现已有</w:t>
      </w:r>
      <w:r>
        <w:rPr>
          <w:rFonts w:hint="eastAsia" w:ascii="楷体_GB2312" w:eastAsia="楷体_GB2312" w:cs="楷体" w:hAnsiTheme="minorEastAsia"/>
          <w:color w:val="000000"/>
          <w:sz w:val="28"/>
          <w:szCs w:val="28"/>
          <w:lang w:eastAsia="zh-CN"/>
        </w:rPr>
        <w:t>三</w:t>
      </w:r>
      <w:r>
        <w:rPr>
          <w:rFonts w:hint="eastAsia" w:ascii="楷体_GB2312" w:eastAsia="楷体_GB2312" w:cs="楷体" w:hAnsiTheme="minorEastAsia"/>
          <w:color w:val="000000"/>
          <w:sz w:val="28"/>
          <w:szCs w:val="28"/>
        </w:rPr>
        <w:t>年。在高新区党工委、管委会领导的亲切关怀下,在社会事业局的直接领导下, 学校深入实施素质教育，在社会上的影响日益扩大。我们深知</w:t>
      </w:r>
      <w:r>
        <w:rPr>
          <w:rFonts w:hint="eastAsia" w:ascii="楷体_GB2312" w:eastAsia="楷体_GB2312" w:hAnsiTheme="minorEastAsia"/>
          <w:color w:val="000000"/>
          <w:sz w:val="28"/>
          <w:szCs w:val="28"/>
        </w:rPr>
        <w:t>机遇往往和困难并存，必将通过努力，把学校办成一所高品质的国际化学校，为社会提供更优质的教育服务。</w:t>
      </w:r>
    </w:p>
    <w:p>
      <w:pPr>
        <w:spacing w:line="520" w:lineRule="exact"/>
        <w:ind w:firstLine="560" w:firstLineChars="200"/>
        <w:rPr>
          <w:rFonts w:ascii="楷体_GB2312" w:eastAsia="楷体_GB2312" w:cs="楷体" w:hAnsiTheme="minorEastAsia"/>
          <w:color w:val="000000"/>
          <w:sz w:val="28"/>
          <w:szCs w:val="28"/>
        </w:rPr>
      </w:pPr>
    </w:p>
    <w:p>
      <w:pPr>
        <w:spacing w:line="5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【学校发展规划制定小组成员】</w:t>
      </w:r>
    </w:p>
    <w:p>
      <w:pPr>
        <w:spacing w:line="520" w:lineRule="exact"/>
        <w:ind w:firstLine="560" w:firstLineChars="200"/>
        <w:rPr>
          <w:rFonts w:hint="eastAsia" w:ascii="楷体_GB2312" w:eastAsia="楷体_GB2312" w:hAnsiTheme="minorEastAsia"/>
          <w:color w:val="000000"/>
          <w:sz w:val="28"/>
          <w:szCs w:val="28"/>
        </w:rPr>
      </w:pPr>
      <w:r>
        <w:rPr>
          <w:rFonts w:hint="eastAsia" w:ascii="楷体_GB2312" w:eastAsia="楷体_GB2312" w:hAnsiTheme="minorEastAsia"/>
          <w:color w:val="000000"/>
          <w:sz w:val="28"/>
          <w:szCs w:val="28"/>
        </w:rPr>
        <w:t>组    长：</w:t>
      </w:r>
      <w:r>
        <w:rPr>
          <w:rFonts w:hint="eastAsia" w:ascii="楷体_GB2312" w:hAnsiTheme="minorEastAsia" w:eastAsiaTheme="minorEastAsia"/>
          <w:color w:val="000000"/>
          <w:sz w:val="28"/>
          <w:szCs w:val="28"/>
        </w:rPr>
        <w:t>芶</w:t>
      </w:r>
      <w:r>
        <w:rPr>
          <w:rFonts w:hint="eastAsia" w:ascii="楷体_GB2312" w:eastAsia="楷体_GB2312" w:hAnsiTheme="minorEastAsia"/>
          <w:color w:val="000000"/>
          <w:sz w:val="28"/>
          <w:szCs w:val="28"/>
        </w:rPr>
        <w:t xml:space="preserve">  鹏</w:t>
      </w:r>
    </w:p>
    <w:p>
      <w:pPr>
        <w:spacing w:line="520" w:lineRule="exact"/>
        <w:ind w:firstLine="560" w:firstLineChars="200"/>
        <w:rPr>
          <w:rFonts w:hint="eastAsia" w:ascii="楷体_GB2312" w:eastAsia="楷体_GB2312" w:hAnsiTheme="minorEastAsia"/>
          <w:color w:val="000000"/>
          <w:sz w:val="28"/>
          <w:szCs w:val="28"/>
          <w:lang w:eastAsia="zh-CN"/>
        </w:rPr>
      </w:pPr>
      <w:r>
        <w:rPr>
          <w:rFonts w:hint="eastAsia" w:ascii="楷体_GB2312" w:eastAsia="楷体_GB2312" w:hAnsiTheme="minorEastAsia"/>
          <w:color w:val="000000"/>
          <w:sz w:val="28"/>
          <w:szCs w:val="28"/>
          <w:lang w:eastAsia="zh-CN"/>
        </w:rPr>
        <w:t>副组长：</w:t>
      </w:r>
      <w:r>
        <w:rPr>
          <w:rFonts w:hint="eastAsia" w:ascii="楷体_GB2312" w:eastAsia="楷体_GB2312" w:hAnsiTheme="minorEastAsia"/>
          <w:color w:val="000000"/>
          <w:sz w:val="28"/>
          <w:szCs w:val="28"/>
          <w:lang w:val="en-US" w:eastAsia="zh-CN"/>
        </w:rPr>
        <w:t xml:space="preserve">  </w:t>
      </w:r>
      <w:r>
        <w:rPr>
          <w:rFonts w:hint="eastAsia" w:ascii="楷体_GB2312" w:eastAsia="楷体_GB2312" w:hAnsiTheme="minorEastAsia"/>
          <w:color w:val="000000"/>
          <w:sz w:val="28"/>
          <w:szCs w:val="28"/>
          <w:lang w:eastAsia="zh-CN"/>
        </w:rPr>
        <w:t>曾霞</w:t>
      </w:r>
    </w:p>
    <w:p>
      <w:pPr>
        <w:spacing w:line="520" w:lineRule="exact"/>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 xml:space="preserve">    具体负责：黄子华、</w:t>
      </w:r>
      <w:r>
        <w:rPr>
          <w:rFonts w:ascii="楷体_GB2312" w:eastAsia="楷体_GB2312" w:hAnsiTheme="minorEastAsia"/>
          <w:color w:val="000000"/>
          <w:sz w:val="28"/>
          <w:szCs w:val="28"/>
        </w:rPr>
        <w:t>熊天</w:t>
      </w:r>
      <w:r>
        <w:rPr>
          <w:rFonts w:hint="eastAsia" w:ascii="楷体_GB2312" w:eastAsia="楷体_GB2312" w:hAnsiTheme="minorEastAsia"/>
          <w:color w:val="000000"/>
          <w:sz w:val="28"/>
          <w:szCs w:val="28"/>
        </w:rPr>
        <w:t>军、</w:t>
      </w:r>
      <w:r>
        <w:rPr>
          <w:rFonts w:ascii="楷体_GB2312" w:eastAsia="楷体_GB2312" w:hAnsiTheme="minorEastAsia"/>
          <w:color w:val="000000"/>
          <w:sz w:val="28"/>
          <w:szCs w:val="28"/>
        </w:rPr>
        <w:t>姜华</w:t>
      </w:r>
      <w:r>
        <w:rPr>
          <w:rFonts w:hint="eastAsia" w:ascii="楷体_GB2312" w:eastAsia="楷体_GB2312" w:hAnsiTheme="minorEastAsia"/>
          <w:color w:val="000000"/>
          <w:sz w:val="28"/>
          <w:szCs w:val="28"/>
        </w:rPr>
        <w:t>、</w:t>
      </w:r>
      <w:r>
        <w:rPr>
          <w:rFonts w:hint="eastAsia" w:ascii="楷体_GB2312" w:eastAsia="楷体_GB2312" w:hAnsiTheme="minorEastAsia"/>
          <w:color w:val="000000"/>
          <w:sz w:val="28"/>
          <w:szCs w:val="28"/>
          <w:lang w:eastAsia="zh-CN"/>
        </w:rPr>
        <w:t>唐治国</w:t>
      </w:r>
      <w:r>
        <w:rPr>
          <w:rFonts w:hint="eastAsia" w:ascii="楷体_GB2312" w:eastAsia="楷体_GB2312" w:hAnsiTheme="minorEastAsia"/>
          <w:color w:val="000000"/>
          <w:sz w:val="28"/>
          <w:szCs w:val="28"/>
        </w:rPr>
        <w:t>及年级主任、学科组长</w:t>
      </w:r>
    </w:p>
    <w:p>
      <w:pPr>
        <w:spacing w:line="520" w:lineRule="exact"/>
        <w:rPr>
          <w:rFonts w:ascii="楷体_GB2312" w:eastAsia="楷体_GB2312" w:hAnsiTheme="minorEastAsia"/>
          <w:color w:val="000000"/>
          <w:sz w:val="28"/>
          <w:szCs w:val="28"/>
        </w:rPr>
      </w:pPr>
    </w:p>
    <w:p>
      <w:pPr>
        <w:spacing w:line="5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【学校发展背景分析】</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lang w:eastAsia="zh-CN"/>
        </w:rPr>
        <w:t>三</w:t>
      </w:r>
      <w:r>
        <w:rPr>
          <w:rFonts w:hint="eastAsia" w:ascii="楷体_GB2312" w:eastAsia="楷体_GB2312" w:hAnsiTheme="minorEastAsia"/>
          <w:color w:val="000000"/>
          <w:sz w:val="28"/>
          <w:szCs w:val="28"/>
        </w:rPr>
        <w:t>年的办学让我们清醒地认识到，学校未来的发展面临着极大的机遇和挑战。</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1.优势分析</w:t>
      </w:r>
    </w:p>
    <w:p>
      <w:pPr>
        <w:spacing w:line="520" w:lineRule="exact"/>
        <w:ind w:firstLine="562" w:firstLineChars="200"/>
        <w:rPr>
          <w:rFonts w:ascii="楷体_GB2312" w:eastAsia="楷体_GB2312" w:hAnsiTheme="minorEastAsia"/>
          <w:color w:val="000000"/>
          <w:sz w:val="28"/>
          <w:szCs w:val="28"/>
        </w:rPr>
      </w:pPr>
      <w:r>
        <w:rPr>
          <w:rFonts w:hint="eastAsia" w:ascii="楷体_GB2312" w:eastAsia="楷体_GB2312" w:hAnsiTheme="minorEastAsia"/>
          <w:b/>
          <w:color w:val="000000"/>
          <w:sz w:val="28"/>
          <w:szCs w:val="28"/>
        </w:rPr>
        <w:t>学校发展起点较高。</w:t>
      </w:r>
      <w:r>
        <w:rPr>
          <w:rFonts w:hint="eastAsia" w:ascii="楷体_GB2312" w:eastAsia="楷体_GB2312" w:hAnsiTheme="minorEastAsia"/>
          <w:color w:val="000000"/>
          <w:sz w:val="28"/>
          <w:szCs w:val="28"/>
        </w:rPr>
        <w:t>建校的这</w:t>
      </w:r>
      <w:r>
        <w:rPr>
          <w:rFonts w:hint="eastAsia" w:ascii="楷体_GB2312" w:eastAsia="楷体_GB2312" w:hAnsiTheme="minorEastAsia"/>
          <w:color w:val="000000"/>
          <w:sz w:val="28"/>
          <w:szCs w:val="28"/>
          <w:lang w:eastAsia="zh-CN"/>
        </w:rPr>
        <w:t>三</w:t>
      </w:r>
      <w:r>
        <w:rPr>
          <w:rFonts w:hint="eastAsia" w:ascii="楷体_GB2312" w:eastAsia="楷体_GB2312" w:hAnsiTheme="minorEastAsia"/>
          <w:color w:val="000000"/>
          <w:sz w:val="28"/>
          <w:szCs w:val="28"/>
        </w:rPr>
        <w:t>年，我们依托于泡桐树教育集团紧密型的发展体系以及成都市泡桐树小学（</w:t>
      </w:r>
      <w:r>
        <w:rPr>
          <w:rFonts w:ascii="楷体_GB2312" w:eastAsia="楷体_GB2312" w:hAnsiTheme="minorEastAsia"/>
          <w:color w:val="000000"/>
          <w:sz w:val="28"/>
          <w:szCs w:val="28"/>
        </w:rPr>
        <w:t>天府</w:t>
      </w:r>
      <w:r>
        <w:rPr>
          <w:rFonts w:hint="eastAsia" w:ascii="楷体_GB2312" w:eastAsia="楷体_GB2312" w:hAnsiTheme="minorEastAsia"/>
          <w:color w:val="000000"/>
          <w:sz w:val="28"/>
          <w:szCs w:val="28"/>
        </w:rPr>
        <w:t>校区）的资源。现在，我们立足于高新区，在前</w:t>
      </w:r>
      <w:r>
        <w:rPr>
          <w:rFonts w:hint="eastAsia" w:ascii="楷体_GB2312" w:eastAsia="楷体_GB2312" w:hAnsiTheme="minorEastAsia"/>
          <w:color w:val="000000"/>
          <w:sz w:val="28"/>
          <w:szCs w:val="28"/>
          <w:lang w:eastAsia="zh-CN"/>
        </w:rPr>
        <w:t>三</w:t>
      </w:r>
      <w:r>
        <w:rPr>
          <w:rFonts w:hint="eastAsia" w:ascii="楷体_GB2312" w:eastAsia="楷体_GB2312" w:hAnsiTheme="minorEastAsia"/>
          <w:color w:val="000000"/>
          <w:sz w:val="28"/>
          <w:szCs w:val="28"/>
        </w:rPr>
        <w:t>年的实践基础上对办学理念、办学目标和相关的管理思路、管理措施，以及校园文化体系有了新的思考，并有所创新。</w:t>
      </w:r>
    </w:p>
    <w:p>
      <w:pPr>
        <w:spacing w:line="520" w:lineRule="exact"/>
        <w:ind w:firstLine="562" w:firstLineChars="200"/>
        <w:rPr>
          <w:rFonts w:ascii="楷体_GB2312" w:eastAsia="楷体_GB2312" w:hAnsiTheme="minorEastAsia"/>
          <w:color w:val="000000"/>
          <w:sz w:val="28"/>
          <w:szCs w:val="28"/>
        </w:rPr>
      </w:pPr>
      <w:r>
        <w:rPr>
          <w:rFonts w:hint="eastAsia" w:ascii="楷体_GB2312" w:eastAsia="楷体_GB2312" w:hAnsiTheme="minorEastAsia"/>
          <w:b/>
          <w:color w:val="000000"/>
          <w:sz w:val="28"/>
          <w:szCs w:val="28"/>
        </w:rPr>
        <w:t>教师发展平台高。</w:t>
      </w:r>
      <w:r>
        <w:rPr>
          <w:rFonts w:hint="eastAsia" w:ascii="楷体_GB2312" w:eastAsia="楷体_GB2312" w:hAnsiTheme="minorEastAsia"/>
          <w:color w:val="000000"/>
          <w:sz w:val="28"/>
          <w:szCs w:val="28"/>
        </w:rPr>
        <w:t>学校积极整合相关的各种外部资源，搭建高起点的教师发展平台，缩短了教师发展和成长的周期。</w:t>
      </w:r>
    </w:p>
    <w:p>
      <w:pPr>
        <w:spacing w:line="520" w:lineRule="exact"/>
        <w:ind w:firstLine="562" w:firstLineChars="200"/>
        <w:rPr>
          <w:rFonts w:ascii="楷体_GB2312" w:eastAsia="楷体_GB2312" w:hAnsiTheme="minorEastAsia"/>
          <w:color w:val="000000"/>
          <w:sz w:val="28"/>
          <w:szCs w:val="28"/>
        </w:rPr>
      </w:pPr>
      <w:r>
        <w:rPr>
          <w:rFonts w:hint="eastAsia" w:ascii="楷体_GB2312" w:eastAsia="楷体_GB2312" w:hAnsiTheme="minorEastAsia"/>
          <w:b/>
          <w:color w:val="000000"/>
          <w:sz w:val="28"/>
          <w:szCs w:val="28"/>
        </w:rPr>
        <w:t>特色发展基础强。</w:t>
      </w:r>
      <w:r>
        <w:rPr>
          <w:rFonts w:hint="eastAsia" w:ascii="楷体_GB2312" w:eastAsia="楷体_GB2312" w:hAnsiTheme="minorEastAsia"/>
          <w:color w:val="000000"/>
          <w:sz w:val="28"/>
          <w:szCs w:val="28"/>
        </w:rPr>
        <w:t>由于我们与泡桐树小学（</w:t>
      </w:r>
      <w:r>
        <w:rPr>
          <w:rFonts w:ascii="楷体_GB2312" w:eastAsia="楷体_GB2312" w:hAnsiTheme="minorEastAsia"/>
          <w:color w:val="000000"/>
          <w:sz w:val="28"/>
          <w:szCs w:val="28"/>
        </w:rPr>
        <w:t>天府</w:t>
      </w:r>
      <w:r>
        <w:rPr>
          <w:rFonts w:hint="eastAsia" w:ascii="楷体_GB2312" w:eastAsia="楷体_GB2312" w:hAnsiTheme="minorEastAsia"/>
          <w:color w:val="000000"/>
          <w:sz w:val="28"/>
          <w:szCs w:val="28"/>
        </w:rPr>
        <w:t>校区）</w:t>
      </w:r>
      <w:r>
        <w:rPr>
          <w:rFonts w:ascii="楷体_GB2312" w:eastAsia="楷体_GB2312" w:hAnsiTheme="minorEastAsia"/>
          <w:color w:val="000000"/>
          <w:sz w:val="28"/>
          <w:szCs w:val="28"/>
        </w:rPr>
        <w:t>是</w:t>
      </w:r>
      <w:r>
        <w:rPr>
          <w:rFonts w:hint="eastAsia" w:ascii="楷体_GB2312" w:eastAsia="楷体_GB2312" w:hAnsiTheme="minorEastAsia"/>
          <w:color w:val="000000"/>
          <w:sz w:val="28"/>
          <w:szCs w:val="28"/>
        </w:rPr>
        <w:t>2校一体化管理，我们继承了泡桐树小学的办学特色（信息化、心理健康、桐下读吧、家校共育），同时结合学校良好的客观条件，充分引进家长资源和社会资源，从构建全新的国际化课程体系入手，关注学校自身办学特色的形成和发展。</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2.劣势分析</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学校的文化内涵发展还需要深入思考。</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我们是成都市第一所公办国际学校，</w:t>
      </w:r>
      <w:r>
        <w:rPr>
          <w:rFonts w:ascii="楷体_GB2312" w:eastAsia="楷体_GB2312" w:hAnsiTheme="minorEastAsia"/>
          <w:color w:val="000000"/>
          <w:sz w:val="28"/>
          <w:szCs w:val="28"/>
        </w:rPr>
        <w:t>尚无</w:t>
      </w:r>
      <w:r>
        <w:rPr>
          <w:rFonts w:hint="eastAsia" w:ascii="楷体_GB2312" w:eastAsia="楷体_GB2312" w:hAnsiTheme="minorEastAsia"/>
          <w:color w:val="000000"/>
          <w:sz w:val="28"/>
          <w:szCs w:val="28"/>
        </w:rPr>
        <w:t>经验可循，随着教育实践的深入，结合高新区整体环境的发展，学校的文化内涵需要更系统地思考，很多想法也还需要在实践过程中得到相关专家的论证和提升，以及社会各界的认可。</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教师队伍的整体素养还需要提高。</w:t>
      </w:r>
    </w:p>
    <w:p>
      <w:pPr>
        <w:spacing w:line="520" w:lineRule="exact"/>
        <w:ind w:firstLine="560" w:firstLineChars="200"/>
        <w:rPr>
          <w:rFonts w:asciiTheme="minorEastAsia" w:hAnsiTheme="minorEastAsia" w:eastAsiaTheme="minorEastAsia"/>
          <w:color w:val="000000"/>
          <w:sz w:val="28"/>
          <w:szCs w:val="28"/>
        </w:rPr>
      </w:pPr>
      <w:r>
        <w:rPr>
          <w:rFonts w:hint="eastAsia" w:ascii="楷体_GB2312" w:eastAsia="楷体_GB2312" w:hAnsiTheme="minorEastAsia"/>
          <w:color w:val="000000"/>
          <w:sz w:val="28"/>
          <w:szCs w:val="28"/>
        </w:rPr>
        <w:t>学校教师的平均年龄仅30岁，虽个体素质较高，但教育教学的综合素养还达不到学校的要求，需要进行有计划的专业培训。且这些教师来自四面八方，他们对学校的教育信仰、办学理念、办学目标、管理思路和措施缺乏深入理解，这也需要经过严格、有计划的培训后才能达到学校的要求。</w:t>
      </w:r>
    </w:p>
    <w:p>
      <w:pPr>
        <w:spacing w:line="520" w:lineRule="exact"/>
        <w:ind w:firstLine="562" w:firstLineChars="200"/>
        <w:rPr>
          <w:rFonts w:asciiTheme="minorEastAsia" w:hAnsiTheme="minorEastAsia" w:eastAsiaTheme="minorEastAsia"/>
          <w:b/>
          <w:color w:val="000000"/>
          <w:sz w:val="28"/>
          <w:szCs w:val="28"/>
        </w:rPr>
      </w:pPr>
    </w:p>
    <w:p>
      <w:pPr>
        <w:spacing w:line="5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【学校办学定位】</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201</w:t>
      </w:r>
      <w:r>
        <w:rPr>
          <w:rFonts w:hint="eastAsia" w:ascii="楷体_GB2312" w:eastAsia="楷体_GB2312" w:hAnsiTheme="minorEastAsia"/>
          <w:color w:val="000000"/>
          <w:sz w:val="28"/>
          <w:szCs w:val="28"/>
          <w:lang w:val="en-US" w:eastAsia="zh-CN"/>
        </w:rPr>
        <w:t>7</w:t>
      </w:r>
      <w:r>
        <w:rPr>
          <w:rFonts w:hint="eastAsia" w:ascii="楷体_GB2312" w:eastAsia="楷体_GB2312" w:hAnsiTheme="minorEastAsia"/>
          <w:color w:val="000000"/>
          <w:sz w:val="28"/>
          <w:szCs w:val="28"/>
        </w:rPr>
        <w:t>-201</w:t>
      </w:r>
      <w:r>
        <w:rPr>
          <w:rFonts w:hint="eastAsia" w:ascii="楷体_GB2312" w:eastAsia="楷体_GB2312" w:hAnsiTheme="minorEastAsia"/>
          <w:color w:val="000000"/>
          <w:sz w:val="28"/>
          <w:szCs w:val="28"/>
          <w:lang w:val="en-US" w:eastAsia="zh-CN"/>
        </w:rPr>
        <w:t>8</w:t>
      </w:r>
      <w:r>
        <w:rPr>
          <w:rFonts w:hint="eastAsia" w:ascii="楷体_GB2312" w:eastAsia="楷体_GB2312" w:hAnsiTheme="minorEastAsia"/>
          <w:color w:val="000000"/>
          <w:sz w:val="28"/>
          <w:szCs w:val="28"/>
        </w:rPr>
        <w:t xml:space="preserve">学年： </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创新实践，形成国际化的学校文化和办学特色；</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201</w:t>
      </w:r>
      <w:r>
        <w:rPr>
          <w:rFonts w:hint="eastAsia" w:ascii="楷体_GB2312" w:eastAsia="楷体_GB2312" w:hAnsiTheme="minorEastAsia"/>
          <w:color w:val="000000"/>
          <w:sz w:val="28"/>
          <w:szCs w:val="28"/>
          <w:lang w:val="en-US" w:eastAsia="zh-CN"/>
        </w:rPr>
        <w:t>9</w:t>
      </w:r>
      <w:r>
        <w:rPr>
          <w:rFonts w:hint="eastAsia" w:ascii="楷体_GB2312" w:eastAsia="楷体_GB2312" w:hAnsiTheme="minorEastAsia"/>
          <w:color w:val="000000"/>
          <w:sz w:val="28"/>
          <w:szCs w:val="28"/>
        </w:rPr>
        <w:t>-20</w:t>
      </w:r>
      <w:r>
        <w:rPr>
          <w:rFonts w:hint="eastAsia" w:ascii="楷体_GB2312" w:eastAsia="楷体_GB2312" w:hAnsiTheme="minorEastAsia"/>
          <w:color w:val="000000"/>
          <w:sz w:val="28"/>
          <w:szCs w:val="28"/>
          <w:lang w:val="en-US" w:eastAsia="zh-CN"/>
        </w:rPr>
        <w:t>20</w:t>
      </w:r>
      <w:r>
        <w:rPr>
          <w:rFonts w:hint="eastAsia" w:ascii="楷体_GB2312" w:eastAsia="楷体_GB2312" w:hAnsiTheme="minorEastAsia"/>
          <w:color w:val="000000"/>
          <w:sz w:val="28"/>
          <w:szCs w:val="28"/>
        </w:rPr>
        <w:t xml:space="preserve">学年： </w:t>
      </w:r>
    </w:p>
    <w:p>
      <w:pPr>
        <w:spacing w:line="520" w:lineRule="exact"/>
        <w:ind w:firstLine="560" w:firstLineChars="200"/>
        <w:rPr>
          <w:rFonts w:ascii="楷体_GB2312" w:eastAsia="楷体_GB2312" w:hAnsiTheme="minorEastAsia"/>
          <w:b/>
          <w:color w:val="000000"/>
          <w:sz w:val="28"/>
          <w:szCs w:val="28"/>
        </w:rPr>
      </w:pPr>
      <w:r>
        <w:rPr>
          <w:rFonts w:hint="eastAsia" w:ascii="楷体_GB2312" w:eastAsia="楷体_GB2312" w:hAnsiTheme="minorEastAsia"/>
          <w:color w:val="000000"/>
          <w:sz w:val="28"/>
          <w:szCs w:val="28"/>
        </w:rPr>
        <w:t>提升品质，加快教育现代化的进程；</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 xml:space="preserve">     </w:t>
      </w:r>
    </w:p>
    <w:p>
      <w:pPr>
        <w:spacing w:line="5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【学校核心价值观】</w:t>
      </w:r>
    </w:p>
    <w:p>
      <w:pPr>
        <w:widowControl/>
        <w:jc w:val="left"/>
        <w:rPr>
          <w:rFonts w:ascii="楷体_GB2312" w:eastAsia="楷体_GB2312" w:hAnsiTheme="minorEastAsia"/>
          <w:color w:val="000000"/>
          <w:sz w:val="28"/>
          <w:szCs w:val="28"/>
        </w:rPr>
      </w:pPr>
      <w:r>
        <w:rPr>
          <w:rFonts w:hint="eastAsia" w:ascii="宋体" w:hAnsi="宋体" w:cs="宋体"/>
          <w:kern w:val="0"/>
          <w:sz w:val="24"/>
        </w:rPr>
        <w:t xml:space="preserve">    </w:t>
      </w:r>
      <w:r>
        <w:rPr>
          <w:rFonts w:ascii="宋体" w:hAnsi="宋体" w:cs="宋体"/>
          <w:kern w:val="0"/>
          <w:sz w:val="24"/>
        </w:rPr>
        <w:t>关</w:t>
      </w:r>
      <w:r>
        <w:rPr>
          <w:rFonts w:ascii="楷体_GB2312" w:eastAsia="楷体_GB2312" w:hAnsiTheme="minorEastAsia"/>
          <w:color w:val="000000"/>
          <w:sz w:val="28"/>
          <w:szCs w:val="28"/>
        </w:rPr>
        <w:t>爱、感恩、尊重、智慧、诚信、正直、责任、个性</w:t>
      </w:r>
    </w:p>
    <w:p>
      <w:pPr>
        <w:spacing w:line="520" w:lineRule="exact"/>
        <w:ind w:firstLine="562" w:firstLineChars="200"/>
        <w:rPr>
          <w:rFonts w:asciiTheme="minorEastAsia" w:hAnsiTheme="minorEastAsia" w:eastAsiaTheme="minorEastAsia"/>
          <w:b/>
          <w:color w:val="000000"/>
          <w:sz w:val="28"/>
          <w:szCs w:val="28"/>
        </w:rPr>
      </w:pPr>
    </w:p>
    <w:p>
      <w:pPr>
        <w:spacing w:line="52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【学校办学思路】</w:t>
      </w:r>
    </w:p>
    <w:p>
      <w:pPr>
        <w:spacing w:line="520" w:lineRule="exact"/>
        <w:ind w:firstLine="562" w:firstLineChars="200"/>
        <w:rPr>
          <w:rFonts w:ascii="楷体_GB2312" w:eastAsia="楷体_GB2312" w:hAnsiTheme="minorEastAsia"/>
          <w:color w:val="000000"/>
          <w:sz w:val="28"/>
          <w:szCs w:val="28"/>
        </w:rPr>
      </w:pPr>
      <w:r>
        <w:rPr>
          <w:rFonts w:hint="eastAsia" w:ascii="楷体_GB2312" w:eastAsia="楷体_GB2312" w:hAnsiTheme="minorEastAsia"/>
          <w:b/>
          <w:color w:val="000000"/>
          <w:sz w:val="28"/>
          <w:szCs w:val="28"/>
        </w:rPr>
        <w:t>办学思路：</w:t>
      </w:r>
      <w:r>
        <w:rPr>
          <w:rFonts w:hint="eastAsia" w:ascii="楷体_GB2312" w:eastAsia="楷体_GB2312" w:hAnsiTheme="minorEastAsia"/>
          <w:color w:val="000000"/>
          <w:sz w:val="28"/>
          <w:szCs w:val="28"/>
        </w:rPr>
        <w:t>为每个孩子最大可能的发展负责</w:t>
      </w:r>
    </w:p>
    <w:p>
      <w:pPr>
        <w:spacing w:line="520" w:lineRule="exact"/>
        <w:ind w:firstLine="560" w:firstLineChars="200"/>
        <w:rPr>
          <w:rFonts w:ascii="楷体_GB2312" w:eastAsia="楷体_GB2312"/>
          <w:color w:val="000000"/>
          <w:sz w:val="28"/>
          <w:szCs w:val="28"/>
        </w:rPr>
      </w:pPr>
      <w:r>
        <w:rPr>
          <w:rFonts w:hint="eastAsia" w:ascii="楷体_GB2312" w:eastAsia="楷体_GB2312" w:hAnsiTheme="minorEastAsia"/>
          <w:color w:val="000000"/>
          <w:sz w:val="28"/>
          <w:szCs w:val="28"/>
        </w:rPr>
        <w:t>学校将通过构建全新的、国际化的课程设置，引导全体教师关注学生个体全面发展基础上的个性化发展——通过调查分析学龄儿童</w:t>
      </w:r>
      <w:r>
        <w:rPr>
          <w:rFonts w:hint="eastAsia" w:ascii="楷体_GB2312" w:eastAsia="楷体_GB2312"/>
          <w:color w:val="000000"/>
          <w:sz w:val="28"/>
          <w:szCs w:val="28"/>
        </w:rPr>
        <w:t>个体的素质发展情况，制定学生个体的个性化发展规划，并通过“家校共育”的育人方式实现学生个体最大可能的发展。</w:t>
      </w:r>
    </w:p>
    <w:p>
      <w:pPr>
        <w:snapToGrid w:val="0"/>
        <w:spacing w:line="520" w:lineRule="exact"/>
        <w:ind w:firstLine="562" w:firstLineChars="200"/>
        <w:rPr>
          <w:rFonts w:ascii="宋体"/>
          <w:b/>
          <w:color w:val="000000"/>
          <w:sz w:val="28"/>
          <w:szCs w:val="28"/>
        </w:rPr>
      </w:pPr>
    </w:p>
    <w:p>
      <w:pPr>
        <w:snapToGrid w:val="0"/>
        <w:spacing w:line="520" w:lineRule="exact"/>
        <w:rPr>
          <w:rFonts w:ascii="宋体"/>
          <w:b/>
          <w:color w:val="000000"/>
          <w:sz w:val="28"/>
          <w:szCs w:val="28"/>
        </w:rPr>
      </w:pPr>
      <w:r>
        <w:rPr>
          <w:rFonts w:hint="eastAsia" w:ascii="宋体"/>
          <w:b/>
          <w:color w:val="000000"/>
          <w:sz w:val="28"/>
          <w:szCs w:val="28"/>
        </w:rPr>
        <w:t>【</w:t>
      </w:r>
      <w:r>
        <w:rPr>
          <w:rFonts w:hint="eastAsia" w:ascii="黑体" w:hAnsi="宋体" w:eastAsia="黑体"/>
          <w:b/>
          <w:color w:val="000000"/>
          <w:sz w:val="28"/>
          <w:szCs w:val="28"/>
        </w:rPr>
        <w:t>学校总办学目标</w:t>
      </w:r>
      <w:r>
        <w:rPr>
          <w:rFonts w:hint="eastAsia" w:ascii="宋体"/>
          <w:b/>
          <w:color w:val="000000"/>
          <w:sz w:val="28"/>
          <w:szCs w:val="28"/>
        </w:rPr>
        <w:t>】</w:t>
      </w:r>
    </w:p>
    <w:p>
      <w:pPr>
        <w:pStyle w:val="3"/>
        <w:snapToGrid w:val="0"/>
        <w:spacing w:line="520" w:lineRule="exact"/>
        <w:ind w:firstLine="560"/>
        <w:rPr>
          <w:rFonts w:ascii="楷体_GB2312" w:eastAsia="楷体_GB2312"/>
          <w:color w:val="000000"/>
          <w:sz w:val="28"/>
          <w:szCs w:val="28"/>
        </w:rPr>
      </w:pPr>
      <w:r>
        <w:rPr>
          <w:rFonts w:hint="eastAsia" w:ascii="楷体_GB2312" w:hAnsi="宋体" w:eastAsia="楷体_GB2312"/>
          <w:color w:val="000000"/>
          <w:sz w:val="28"/>
          <w:szCs w:val="28"/>
        </w:rPr>
        <w:t>全体蒙小人将致力于把学校办成一所学生喜欢、家长满意、教师幸福、社会向往的具有国际化视野的现代化中国学校。</w:t>
      </w:r>
    </w:p>
    <w:p>
      <w:pPr>
        <w:snapToGrid w:val="0"/>
        <w:spacing w:line="520" w:lineRule="exact"/>
        <w:rPr>
          <w:rFonts w:ascii="楷体_GB2312" w:eastAsia="楷体_GB2312" w:cs="宋体"/>
          <w:color w:val="000000"/>
          <w:sz w:val="28"/>
          <w:szCs w:val="28"/>
        </w:rPr>
      </w:pPr>
    </w:p>
    <w:p>
      <w:pPr>
        <w:snapToGrid w:val="0"/>
        <w:spacing w:line="520" w:lineRule="exact"/>
        <w:rPr>
          <w:rFonts w:ascii="宋体" w:cs="宋体"/>
          <w:color w:val="000000"/>
          <w:sz w:val="28"/>
          <w:szCs w:val="28"/>
        </w:rPr>
      </w:pPr>
      <w:r>
        <w:rPr>
          <w:rFonts w:hint="eastAsia" w:ascii="宋体" w:cs="宋体"/>
          <w:color w:val="000000"/>
          <w:sz w:val="28"/>
          <w:szCs w:val="28"/>
        </w:rPr>
        <w:t>【</w:t>
      </w:r>
      <w:r>
        <w:rPr>
          <w:rFonts w:hint="eastAsia" w:ascii="黑体" w:hAnsi="宋体" w:eastAsia="黑体"/>
          <w:color w:val="000000"/>
          <w:sz w:val="28"/>
          <w:szCs w:val="28"/>
        </w:rPr>
        <w:t>学校办学具体目标</w:t>
      </w:r>
      <w:r>
        <w:rPr>
          <w:rFonts w:hint="eastAsia" w:ascii="宋体" w:cs="宋体"/>
          <w:color w:val="000000"/>
          <w:sz w:val="28"/>
          <w:szCs w:val="28"/>
        </w:rPr>
        <w:t>】</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在各级领导的引领和指导下，我们将把蒙小建成：</w:t>
      </w:r>
    </w:p>
    <w:p>
      <w:pPr>
        <w:pStyle w:val="8"/>
        <w:spacing w:before="302" w:beforeAutospacing="0" w:after="422" w:afterAutospacing="0" w:line="360" w:lineRule="atLeast"/>
        <w:ind w:left="452" w:right="452"/>
        <w:rPr>
          <w:rFonts w:hint="eastAsia" w:ascii="楷体_GB2312" w:eastAsia="楷体_GB2312" w:cs="Times New Roman" w:hAnsiTheme="minorEastAsia"/>
          <w:color w:val="000000"/>
          <w:kern w:val="2"/>
          <w:sz w:val="28"/>
          <w:szCs w:val="28"/>
          <w:lang w:val="en-US" w:eastAsia="zh-CN" w:bidi="ar-SA"/>
        </w:rPr>
      </w:pPr>
      <w:r>
        <w:rPr>
          <w:rFonts w:hint="eastAsia" w:ascii="楷体_GB2312" w:eastAsia="楷体_GB2312" w:cs="Times New Roman" w:hAnsiTheme="minorEastAsia"/>
          <w:color w:val="000000"/>
          <w:kern w:val="2"/>
          <w:sz w:val="28"/>
          <w:szCs w:val="28"/>
          <w:lang w:val="en-US" w:eastAsia="zh-CN" w:bidi="ar-SA"/>
        </w:rPr>
        <w:t xml:space="preserve"> （一）有国际视野的理念和目标</w:t>
      </w:r>
    </w:p>
    <w:p>
      <w:pPr>
        <w:pStyle w:val="8"/>
        <w:spacing w:before="302" w:beforeAutospacing="0" w:after="422" w:afterAutospacing="0" w:line="360" w:lineRule="atLeast"/>
        <w:ind w:left="452" w:right="452"/>
        <w:rPr>
          <w:rFonts w:hint="eastAsia" w:ascii="楷体_GB2312" w:eastAsia="楷体_GB2312" w:cs="Times New Roman" w:hAnsiTheme="minorEastAsia"/>
          <w:color w:val="000000"/>
          <w:kern w:val="2"/>
          <w:sz w:val="28"/>
          <w:szCs w:val="28"/>
          <w:lang w:val="en-US" w:eastAsia="zh-CN" w:bidi="ar-SA"/>
        </w:rPr>
      </w:pPr>
      <w:r>
        <w:rPr>
          <w:rFonts w:hint="eastAsia" w:ascii="楷体_GB2312" w:eastAsia="楷体_GB2312" w:cs="Times New Roman" w:hAnsiTheme="minorEastAsia"/>
          <w:color w:val="000000"/>
          <w:kern w:val="2"/>
          <w:sz w:val="28"/>
          <w:szCs w:val="28"/>
          <w:lang w:val="en-US" w:eastAsia="zh-CN" w:bidi="ar-SA"/>
        </w:rPr>
        <w:t>作为中法交流史上首次以对方城市命名的学校，以及成都市第一所定位于教育国际化发展的公立小学，成都蒙彼利埃小学始终坚持教育理念的国际化是教育国际化的前提，秉承“为每一个孩子最大可能的发展负责”的办学思路，致力于把学校办成一所孩子喜欢、家长满意、教师幸福、社会向往的具有国际视野的现代化中国学校。学校提倡无人、无事、无时不课程的育人理念，在中法双方不断深入的合作下，成都蒙彼利埃小学将成为为每个孩子最大可能发展负责的践行者。</w:t>
      </w:r>
    </w:p>
    <w:p>
      <w:pPr>
        <w:pStyle w:val="8"/>
        <w:spacing w:before="302" w:beforeAutospacing="0" w:after="422" w:afterAutospacing="0" w:line="360" w:lineRule="atLeast"/>
        <w:ind w:left="452" w:right="452"/>
        <w:rPr>
          <w:rFonts w:hint="eastAsia" w:ascii="楷体_GB2312" w:eastAsia="楷体_GB2312" w:cs="Times New Roman" w:hAnsiTheme="minorEastAsia"/>
          <w:color w:val="000000"/>
          <w:kern w:val="2"/>
          <w:sz w:val="28"/>
          <w:szCs w:val="28"/>
          <w:lang w:val="en-US" w:eastAsia="zh-CN" w:bidi="ar-SA"/>
        </w:rPr>
      </w:pPr>
      <w:r>
        <w:rPr>
          <w:rFonts w:hint="eastAsia" w:ascii="楷体_GB2312" w:eastAsia="楷体_GB2312" w:cs="Times New Roman" w:hAnsiTheme="minorEastAsia"/>
          <w:color w:val="000000"/>
          <w:kern w:val="2"/>
          <w:sz w:val="28"/>
          <w:szCs w:val="28"/>
          <w:lang w:val="en-US" w:eastAsia="zh-CN" w:bidi="ar-SA"/>
        </w:rPr>
        <w:t>（二）以法语课搭建学校国际理解特色课程</w:t>
      </w:r>
    </w:p>
    <w:p>
      <w:pPr>
        <w:pStyle w:val="8"/>
        <w:spacing w:before="302" w:beforeAutospacing="0" w:after="422" w:afterAutospacing="0" w:line="360" w:lineRule="atLeast"/>
        <w:ind w:left="452" w:right="452"/>
        <w:rPr>
          <w:rFonts w:hint="eastAsia" w:ascii="楷体_GB2312" w:eastAsia="楷体_GB2312" w:cs="Times New Roman" w:hAnsiTheme="minorEastAsia"/>
          <w:color w:val="000000"/>
          <w:kern w:val="2"/>
          <w:sz w:val="28"/>
          <w:szCs w:val="28"/>
          <w:lang w:val="en-US" w:eastAsia="zh-CN" w:bidi="ar-SA"/>
        </w:rPr>
      </w:pPr>
      <w:r>
        <w:rPr>
          <w:rFonts w:hint="eastAsia" w:ascii="楷体_GB2312" w:eastAsia="楷体_GB2312" w:cs="Times New Roman" w:hAnsiTheme="minorEastAsia"/>
          <w:color w:val="000000"/>
          <w:kern w:val="2"/>
          <w:sz w:val="28"/>
          <w:szCs w:val="28"/>
          <w:lang w:val="en-US" w:eastAsia="zh-CN" w:bidi="ar-SA"/>
        </w:rPr>
        <w:t>学校着眼于孩子能否适应未来社会的发展，注重培养学生的国际竞争力，积极参与地方课程改革，主动研发校本特色课程，其中的特色国际理解教育课程，以法语课程介入，既注重中国传统文化的理解，又感受西方经典文化的浸润，为学生搭建个体成长、多元发展的平台。目前，学校各班每周开设一节法语，同时开设法语社团班和法语特长队，以满足不同学生对法语学习的需求。同时，学校还引进“创新课程”、”财商课程”以构建更加具有民族性和世界性兼顾，本土化和国际化结合的国际理解特色课程。</w:t>
      </w:r>
    </w:p>
    <w:p>
      <w:pPr>
        <w:pStyle w:val="8"/>
        <w:spacing w:before="302" w:beforeAutospacing="0" w:after="422" w:afterAutospacing="0" w:line="360" w:lineRule="atLeast"/>
        <w:ind w:left="452" w:right="452"/>
        <w:rPr>
          <w:rFonts w:hint="eastAsia" w:ascii="楷体_GB2312" w:eastAsia="楷体_GB2312" w:cs="Times New Roman" w:hAnsiTheme="minorEastAsia"/>
          <w:color w:val="000000"/>
          <w:kern w:val="2"/>
          <w:sz w:val="28"/>
          <w:szCs w:val="28"/>
          <w:lang w:val="en-US" w:eastAsia="zh-CN" w:bidi="ar-SA"/>
        </w:rPr>
      </w:pPr>
      <w:r>
        <w:rPr>
          <w:rFonts w:hint="eastAsia" w:ascii="楷体_GB2312" w:eastAsia="楷体_GB2312" w:cs="Times New Roman" w:hAnsiTheme="minorEastAsia"/>
          <w:color w:val="000000"/>
          <w:kern w:val="2"/>
          <w:sz w:val="28"/>
          <w:szCs w:val="28"/>
          <w:lang w:val="en-US" w:eastAsia="zh-CN" w:bidi="ar-SA"/>
        </w:rPr>
        <w:t>（三）以紧密互动促进中法师生深度交流</w:t>
      </w:r>
    </w:p>
    <w:p>
      <w:pPr>
        <w:pStyle w:val="8"/>
        <w:spacing w:before="302" w:beforeAutospacing="0" w:after="422" w:afterAutospacing="0" w:line="360" w:lineRule="atLeast"/>
        <w:ind w:left="452" w:right="452"/>
        <w:rPr>
          <w:rFonts w:hint="eastAsia" w:ascii="楷体_GB2312" w:eastAsia="楷体_GB2312" w:cs="Times New Roman" w:hAnsiTheme="minorEastAsia"/>
          <w:color w:val="000000"/>
          <w:kern w:val="2"/>
          <w:sz w:val="28"/>
          <w:szCs w:val="28"/>
          <w:lang w:val="en-US" w:eastAsia="zh-CN" w:bidi="ar-SA"/>
        </w:rPr>
      </w:pPr>
      <w:r>
        <w:rPr>
          <w:rFonts w:hint="eastAsia" w:ascii="楷体_GB2312" w:eastAsia="楷体_GB2312" w:cs="Times New Roman" w:hAnsiTheme="minorEastAsia"/>
          <w:color w:val="000000"/>
          <w:kern w:val="2"/>
          <w:sz w:val="28"/>
          <w:szCs w:val="28"/>
          <w:lang w:val="en-US" w:eastAsia="zh-CN" w:bidi="ar-SA"/>
        </w:rPr>
        <w:t>学校从培养未来世界公民的角度去思考、实践、定位，以学生培养目标为核心，不断探索更加符合学生发展的各项教育教学工作，从交流互访到课程开发，从相互学习到相互理解再到相互融合，努力让每一个蒙娃成长为具有“中国情怀、世界眼光、科学素养、人文精神”的未来世界公民，努力让学校真正成为师生幸福成长的家园和乐园。</w:t>
      </w:r>
    </w:p>
    <w:p>
      <w:pPr>
        <w:snapToGrid w:val="0"/>
        <w:spacing w:line="520" w:lineRule="exact"/>
        <w:rPr>
          <w:color w:val="000000"/>
          <w:sz w:val="28"/>
          <w:szCs w:val="28"/>
        </w:rPr>
      </w:pPr>
      <w:r>
        <w:rPr>
          <w:rFonts w:hint="eastAsia"/>
          <w:color w:val="000000"/>
          <w:sz w:val="28"/>
          <w:szCs w:val="28"/>
        </w:rPr>
        <w:t>【</w:t>
      </w:r>
      <w:r>
        <w:rPr>
          <w:rFonts w:hint="eastAsia" w:ascii="黑体" w:hAnsi="宋体" w:eastAsia="黑体"/>
          <w:color w:val="000000"/>
          <w:sz w:val="28"/>
          <w:szCs w:val="28"/>
        </w:rPr>
        <w:t>学校办学策略</w:t>
      </w:r>
      <w:r>
        <w:rPr>
          <w:rFonts w:hint="eastAsia"/>
          <w:color w:val="000000"/>
          <w:sz w:val="28"/>
          <w:szCs w:val="28"/>
        </w:rPr>
        <w:t>】</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sz w:val="28"/>
          <w:szCs w:val="28"/>
        </w:rPr>
        <w:t xml:space="preserve"> 一、“三课联动”，提质增效</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㈠继续构建和创新学校的课程</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学校将继续通过构建全新的课程设置，通过课程改革，转变教师的观念——从单一的知识传授者转向多元知识的汲取者；从学生学习的指导者转向课程的建设者和合作者。通过课程改革，转变家长的观念——从学生学习的旁观者转向学生学习的参与者；从学校课程开发的被动参与者转向课程的主动设计者。</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创意实现学生最大可能发展的教育环境，营造影响孩子一生的氛围，引导全体教师和家长关注全体学生的综合素质提升，并在此基础上关注学生个体发展情况基础上的个性化发展，并通过调查分析学龄儿童个体的素质发展情况，制定学生个体的发展规划，并通过“家校共育”的育人方式实现学生个体最大可能的发展。</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1.关注“三需求”的满足，创新学校课程设置</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为了构建学生喜欢、家长满意、教师幸福的学校，促进学生最大可能的发展，我们致力于从满足学生发展需求、家庭教育需求、教师成长需求的角度创新设置课程。</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2.关注“三育”的发展，整合家长和社区的教育资源</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“家校共育”是课程实施的重要途径，我们充分整合家长和社区教育资源，创意引进“家长志愿者”的方式，提升课程实施的效能和校园开放程度，促进学校教育、家庭教育和社区教育的共同发展。</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3.关注“两基”的提高，继续优化国家、地方和校本课程</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我们将紧紧以学生的“学业”提高为基础，关注学生基本知识和基本技能的提升，优化国家和地方课程；以学生的“特长”发展为基础，优化学校校本特色课程。从而建设学校的三维课程体系。</w:t>
      </w:r>
    </w:p>
    <w:p>
      <w:pPr>
        <w:pStyle w:val="14"/>
        <w:numPr>
          <w:ilvl w:val="0"/>
          <w:numId w:val="1"/>
        </w:numPr>
        <w:spacing w:line="520" w:lineRule="exact"/>
        <w:ind w:firstLineChars="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高效安排教学时间</w:t>
      </w:r>
    </w:p>
    <w:p>
      <w:pPr>
        <w:pStyle w:val="14"/>
        <w:spacing w:line="520" w:lineRule="exact"/>
        <w:ind w:firstLine="551" w:firstLineChars="196"/>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构建30分钟的课堂；</w:t>
      </w:r>
    </w:p>
    <w:p>
      <w:pPr>
        <w:spacing w:line="520" w:lineRule="exact"/>
        <w:ind w:firstLine="560" w:firstLineChars="200"/>
        <w:rPr>
          <w:rFonts w:ascii="楷体_GB2312" w:eastAsia="楷体_GB2312" w:hAnsiTheme="minorEastAsia"/>
          <w:bCs/>
          <w:color w:val="000000"/>
          <w:sz w:val="28"/>
          <w:szCs w:val="28"/>
        </w:rPr>
      </w:pPr>
      <w:r>
        <w:rPr>
          <w:rFonts w:hint="eastAsia" w:ascii="楷体_GB2312" w:eastAsia="楷体_GB2312" w:hAnsiTheme="minorEastAsia"/>
          <w:color w:val="000000"/>
          <w:sz w:val="28"/>
          <w:szCs w:val="28"/>
        </w:rPr>
        <w:t>严格执行国家课程标准，开足开齐各类课程，坚持高效安排教学</w:t>
      </w:r>
      <w:r>
        <w:rPr>
          <w:rFonts w:hint="eastAsia" w:ascii="楷体_GB2312" w:eastAsia="楷体_GB2312" w:hAnsiTheme="minorEastAsia"/>
          <w:sz w:val="28"/>
          <w:szCs w:val="28"/>
        </w:rPr>
        <w:t>时间，构建30分钟课堂；合理调整课程结构，实行单双周课表制，长短课时制。构建国家课程、地方课程、校本课程的三维课程体系，确保课程计划的有效实施。</w:t>
      </w:r>
    </w:p>
    <w:p>
      <w:pPr>
        <w:pStyle w:val="3"/>
        <w:numPr>
          <w:ilvl w:val="0"/>
          <w:numId w:val="1"/>
        </w:numPr>
        <w:snapToGrid w:val="0"/>
        <w:spacing w:line="520" w:lineRule="exact"/>
        <w:ind w:firstLineChars="0"/>
        <w:rPr>
          <w:rFonts w:ascii="楷体_GB2312" w:hAnsi="宋体" w:eastAsia="楷体_GB2312"/>
          <w:b/>
          <w:bCs/>
          <w:color w:val="000000"/>
          <w:sz w:val="28"/>
          <w:szCs w:val="28"/>
        </w:rPr>
      </w:pPr>
      <w:r>
        <w:rPr>
          <w:rFonts w:hint="eastAsia" w:ascii="楷体_GB2312" w:hAnsi="宋体" w:eastAsia="楷体_GB2312"/>
          <w:b/>
          <w:bCs/>
          <w:color w:val="000000"/>
          <w:sz w:val="28"/>
          <w:szCs w:val="28"/>
        </w:rPr>
        <w:t xml:space="preserve">开发完善课程内容     </w:t>
      </w:r>
    </w:p>
    <w:tbl>
      <w:tblPr>
        <w:tblStyle w:val="12"/>
        <w:tblW w:w="829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762"/>
        <w:gridCol w:w="2336"/>
        <w:gridCol w:w="1701"/>
        <w:gridCol w:w="1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5098" w:type="dxa"/>
            <w:gridSpan w:val="2"/>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必修课程</w:t>
            </w:r>
          </w:p>
        </w:tc>
        <w:tc>
          <w:tcPr>
            <w:tcW w:w="3198" w:type="dxa"/>
            <w:gridSpan w:val="2"/>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选修课程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语文</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社区服务计划</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羽毛球</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国际象棋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数学</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生活和礼仪</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篮球</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手工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英语（每天1节）</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音乐</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乒乓球</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剪纸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法语（</w:t>
            </w:r>
            <w:r>
              <w:rPr>
                <w:rFonts w:ascii="楷体_GB2312" w:hAnsi="宋体" w:eastAsia="楷体_GB2312"/>
                <w:bCs/>
                <w:color w:val="000000"/>
                <w:szCs w:val="21"/>
              </w:rPr>
              <w:t>每周</w:t>
            </w:r>
            <w:r>
              <w:rPr>
                <w:rFonts w:hint="eastAsia" w:ascii="楷体_GB2312" w:hAnsi="宋体" w:eastAsia="楷体_GB2312"/>
                <w:bCs/>
                <w:color w:val="000000"/>
                <w:szCs w:val="21"/>
              </w:rPr>
              <w:t>3节）</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信息技术</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法语（</w:t>
            </w:r>
            <w:r>
              <w:rPr>
                <w:rFonts w:ascii="楷体_GB2312" w:hAnsi="宋体" w:eastAsia="楷体_GB2312"/>
                <w:bCs/>
                <w:color w:val="000000"/>
                <w:szCs w:val="21"/>
              </w:rPr>
              <w:t>必选</w:t>
            </w:r>
            <w:r>
              <w:rPr>
                <w:rFonts w:hint="eastAsia" w:ascii="楷体_GB2312" w:hAnsi="宋体" w:eastAsia="楷体_GB2312"/>
                <w:bCs/>
                <w:color w:val="000000"/>
                <w:szCs w:val="21"/>
              </w:rPr>
              <w:t>1节）</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绘画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思维训练（玩数学）</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科学（通用技术）</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舞蹈</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泥塑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体育（每天1节）</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德语</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合唱</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电脑机器人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美术</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 xml:space="preserve">品德与生活 </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科技创新</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国际数棋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762"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书法（写字）</w:t>
            </w:r>
          </w:p>
        </w:tc>
        <w:tc>
          <w:tcPr>
            <w:tcW w:w="2336"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 xml:space="preserve">生命与安全 </w:t>
            </w:r>
          </w:p>
        </w:tc>
        <w:tc>
          <w:tcPr>
            <w:tcW w:w="1701"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书法</w:t>
            </w:r>
          </w:p>
        </w:tc>
        <w:tc>
          <w:tcPr>
            <w:tcW w:w="1497" w:type="dxa"/>
            <w:vAlign w:val="center"/>
          </w:tcPr>
          <w:p>
            <w:pPr>
              <w:pStyle w:val="3"/>
              <w:snapToGrid w:val="0"/>
              <w:spacing w:line="520" w:lineRule="exact"/>
              <w:ind w:firstLine="0" w:firstLineChars="0"/>
              <w:rPr>
                <w:rFonts w:ascii="楷体_GB2312" w:hAnsi="宋体" w:eastAsia="楷体_GB2312"/>
                <w:bCs/>
                <w:color w:val="000000"/>
                <w:szCs w:val="21"/>
              </w:rPr>
            </w:pPr>
            <w:r>
              <w:rPr>
                <w:rFonts w:hint="eastAsia" w:ascii="楷体_GB2312" w:hAnsi="宋体" w:eastAsia="楷体_GB2312"/>
                <w:bCs/>
                <w:color w:val="000000"/>
                <w:szCs w:val="21"/>
              </w:rPr>
              <w:t>轮滑……</w:t>
            </w:r>
          </w:p>
        </w:tc>
      </w:tr>
    </w:tbl>
    <w:p>
      <w:pPr>
        <w:pStyle w:val="3"/>
        <w:snapToGrid w:val="0"/>
        <w:spacing w:line="520" w:lineRule="exact"/>
        <w:ind w:firstLine="0" w:firstLineChars="0"/>
        <w:rPr>
          <w:rFonts w:ascii="宋体" w:hAnsi="宋体"/>
          <w:b/>
          <w:bCs/>
          <w:color w:val="000000"/>
          <w:sz w:val="28"/>
          <w:szCs w:val="28"/>
        </w:rPr>
      </w:pPr>
    </w:p>
    <w:p>
      <w:pPr>
        <w:snapToGrid w:val="0"/>
        <w:spacing w:line="520" w:lineRule="exact"/>
        <w:ind w:firstLine="594" w:firstLineChars="200"/>
        <w:rPr>
          <w:rFonts w:ascii="楷体_GB2312" w:eastAsia="楷体_GB2312" w:cs="Arial"/>
          <w:b/>
          <w:color w:val="000000"/>
          <w:spacing w:val="8"/>
          <w:kern w:val="0"/>
          <w:sz w:val="28"/>
          <w:szCs w:val="28"/>
        </w:rPr>
      </w:pPr>
      <w:r>
        <w:rPr>
          <w:rFonts w:hint="eastAsia" w:ascii="楷体_GB2312" w:hAnsi="宋体" w:eastAsia="楷体_GB2312" w:cs="Arial"/>
          <w:b/>
          <w:color w:val="000000"/>
          <w:spacing w:val="8"/>
          <w:kern w:val="0"/>
          <w:sz w:val="28"/>
          <w:szCs w:val="28"/>
        </w:rPr>
        <w:t>创新学园</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成都蒙彼利埃小学将一直坚持“以教育信息化促进学校现代化”的办学特色。学校从建校之初，将致力于数字校园环境的建设，让教室、办公室、功能室网络覆盖率达到100% 。</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营造网络教、学氛围——白板应用课程（交互式电子白板引入课堂）；教学交流课程（教育教学资源共享、网络办公）；家校共育课程（网络平台、APP下的家校沟通）；基于网络的教师</w:t>
      </w:r>
      <w:r>
        <w:rPr>
          <w:rFonts w:hint="eastAsia" w:ascii="楷体_GB2312" w:hAnsi="宋体" w:eastAsia="楷体_GB2312" w:cs="Arial"/>
          <w:bCs/>
          <w:color w:val="000000"/>
          <w:spacing w:val="8"/>
          <w:kern w:val="0"/>
          <w:sz w:val="28"/>
          <w:szCs w:val="28"/>
        </w:rPr>
        <w:t>专业成长课程 ；</w:t>
      </w:r>
      <w:r>
        <w:rPr>
          <w:rFonts w:hint="eastAsia" w:ascii="楷体_GB2312" w:eastAsia="楷体_GB2312" w:hAnsiTheme="minorEastAsia"/>
          <w:color w:val="000000"/>
          <w:sz w:val="28"/>
          <w:szCs w:val="28"/>
        </w:rPr>
        <w:t xml:space="preserve">电脑机器人课程、通用技术课程、国际数棋课程、科技创新课程等 </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国际家园</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提升学生的国际理解力</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国际沁润课程（定期与海外友好学校开展各类文化交流活动）；</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 xml:space="preserve">国际理解课程（聘请外籍教师到校开展教育教学活动)； </w:t>
      </w:r>
    </w:p>
    <w:p>
      <w:pPr>
        <w:spacing w:line="520" w:lineRule="exact"/>
        <w:ind w:firstLine="562" w:firstLineChars="200"/>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生活家园</w:t>
      </w:r>
    </w:p>
    <w:p>
      <w:pPr>
        <w:spacing w:line="520" w:lineRule="exact"/>
        <w:ind w:firstLine="560" w:firstLineChars="200"/>
        <w:rPr>
          <w:rFonts w:ascii="楷体_GB2312" w:eastAsia="楷体_GB2312" w:hAnsiTheme="minorEastAsia"/>
          <w:color w:val="000000"/>
          <w:sz w:val="28"/>
          <w:szCs w:val="28"/>
        </w:rPr>
      </w:pPr>
      <w:r>
        <w:rPr>
          <w:rFonts w:hint="eastAsia" w:ascii="楷体_GB2312" w:eastAsia="楷体_GB2312" w:hAnsiTheme="minorEastAsia"/>
          <w:color w:val="000000"/>
          <w:sz w:val="28"/>
          <w:szCs w:val="28"/>
        </w:rPr>
        <w:t>“教育即生活”是美国著名教育家杜威的教育思想中最为重要的一个命题，“生活即教育”也是我国著名教育家陶行之的教育信念，它所要强调的是，教育离不开生活，教育是为了生活，教育是为了人获得新的个人和社会生活方式而存在的。《蒙小娃娃宣言》也明确提出了我校的教育信念就是让每一个孩子：学习生活的知识，学会生存的本领，学懂生命的意义。教育本身要带给孩子的不应该仅仅是书本的知识，更应该是学习的能力、生存的智慧、对待生活的态度以及高尚的品格。</w:t>
      </w:r>
    </w:p>
    <w:p>
      <w:pPr>
        <w:pStyle w:val="8"/>
        <w:spacing w:before="0" w:beforeAutospacing="0" w:after="0" w:afterAutospacing="0" w:line="520" w:lineRule="exact"/>
        <w:ind w:firstLine="560" w:firstLineChars="200"/>
        <w:jc w:val="both"/>
        <w:rPr>
          <w:rFonts w:ascii="楷体_GB2312" w:eastAsia="楷体_GB2312"/>
          <w:bCs/>
          <w:color w:val="000000"/>
          <w:sz w:val="28"/>
          <w:szCs w:val="28"/>
        </w:rPr>
      </w:pPr>
      <w:r>
        <w:rPr>
          <w:rFonts w:hint="eastAsia" w:ascii="楷体_GB2312" w:eastAsia="楷体_GB2312"/>
          <w:bCs/>
          <w:color w:val="000000"/>
          <w:sz w:val="28"/>
          <w:szCs w:val="28"/>
        </w:rPr>
        <w:t>营造礼仪生活氛围——生活体验课程（每月两次的生活体验课程，开发家长资源，“家长义工”参与教学）；礼仪训练课程；入学适应课程等</w:t>
      </w:r>
    </w:p>
    <w:p>
      <w:pPr>
        <w:snapToGrid w:val="0"/>
        <w:spacing w:line="520" w:lineRule="exact"/>
        <w:rPr>
          <w:rFonts w:ascii="楷体_GB2312" w:eastAsia="楷体_GB2312"/>
          <w:b/>
          <w:color w:val="000000"/>
          <w:sz w:val="28"/>
          <w:szCs w:val="28"/>
        </w:rPr>
      </w:pPr>
      <w:r>
        <w:rPr>
          <w:rFonts w:hint="eastAsia" w:ascii="楷体_GB2312" w:hAnsi="宋体" w:eastAsia="楷体_GB2312"/>
          <w:b/>
          <w:color w:val="000000"/>
          <w:sz w:val="28"/>
          <w:szCs w:val="28"/>
        </w:rPr>
        <w:t xml:space="preserve">    书香校园</w:t>
      </w:r>
    </w:p>
    <w:p>
      <w:pPr>
        <w:snapToGrid w:val="0"/>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一卷在手，满手余香。书籍是人类最好的导师和朋友，让孩子们熟悉书籍，亲近书籍，学会从书籍中获得知识的方法，形成自我阅读的能力，接受传统经典的熏陶，感受书籍带给生活的幸福与美好，是我们建设书香校园的希冀。所以我们</w:t>
      </w:r>
      <w:r>
        <w:rPr>
          <w:rFonts w:hint="eastAsia" w:ascii="楷体_GB2312" w:hAnsi="宋体" w:eastAsia="楷体_GB2312"/>
          <w:b/>
          <w:color w:val="000000"/>
          <w:sz w:val="28"/>
          <w:szCs w:val="28"/>
        </w:rPr>
        <w:t>整合地方课程建设了书香校本课程体系</w:t>
      </w:r>
      <w:r>
        <w:rPr>
          <w:rFonts w:hint="eastAsia" w:ascii="楷体_GB2312" w:hAnsi="宋体" w:eastAsia="楷体_GB2312"/>
          <w:bCs/>
          <w:color w:val="000000"/>
          <w:sz w:val="28"/>
          <w:szCs w:val="28"/>
        </w:rPr>
        <w:t>：以“经典传承文明，书香润泽心灵”为主题，以“蒙娃宣言”为主线，营造浓郁的校园文化氛围，把校园的每个角落布置成传承经典，感知书香魅力的文化场所。</w:t>
      </w:r>
    </w:p>
    <w:p>
      <w:pPr>
        <w:snapToGrid w:val="0"/>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目标：让每一面墙都会说话，每一个角落都成为学生（与书本对话的空间）表演的舞台。学生在幽美的静态校园中阅读经典，阅读思想，阅读精神。与文化结缘，与历史对话，与时代共进，时时呼吸文化的空气，陶冶作为人的根本情操。</w:t>
      </w:r>
    </w:p>
    <w:p>
      <w:pPr>
        <w:snapToGrid w:val="0"/>
        <w:spacing w:line="520" w:lineRule="exact"/>
        <w:ind w:firstLine="560" w:firstLineChars="200"/>
        <w:rPr>
          <w:rFonts w:ascii="楷体_GB2312" w:hAnsi="宋体" w:eastAsia="楷体_GB2312"/>
          <w:color w:val="000000"/>
          <w:sz w:val="28"/>
          <w:szCs w:val="28"/>
        </w:rPr>
      </w:pPr>
      <w:r>
        <w:rPr>
          <w:rFonts w:hint="eastAsia" w:ascii="楷体_GB2312" w:hAnsi="宋体" w:eastAsia="楷体_GB2312"/>
          <w:bCs/>
          <w:color w:val="000000"/>
          <w:sz w:val="28"/>
          <w:szCs w:val="28"/>
        </w:rPr>
        <w:t>营造读书氛围——家庭阅读课程（每学期开展书香家庭评选、每月进行读书小报制作及展示)；绘本阅读课程</w:t>
      </w:r>
      <w:r>
        <w:rPr>
          <w:rFonts w:hint="eastAsia" w:ascii="楷体_GB2312" w:hAnsi="宋体" w:eastAsia="楷体_GB2312"/>
          <w:color w:val="000000"/>
          <w:sz w:val="28"/>
          <w:szCs w:val="28"/>
        </w:rPr>
        <w:t>；</w:t>
      </w:r>
      <w:r>
        <w:rPr>
          <w:rFonts w:hint="eastAsia" w:ascii="楷体_GB2312" w:hAnsi="宋体" w:eastAsia="楷体_GB2312"/>
          <w:bCs/>
          <w:color w:val="000000"/>
          <w:sz w:val="28"/>
          <w:szCs w:val="28"/>
        </w:rPr>
        <w:t xml:space="preserve">国学课程；书法、国画课程 </w:t>
      </w:r>
    </w:p>
    <w:p>
      <w:pPr>
        <w:snapToGrid w:val="0"/>
        <w:spacing w:line="520" w:lineRule="exact"/>
        <w:ind w:firstLine="562" w:firstLineChars="200"/>
        <w:rPr>
          <w:rFonts w:ascii="楷体_GB2312" w:eastAsia="楷体_GB2312"/>
          <w:b/>
          <w:color w:val="000000"/>
          <w:sz w:val="28"/>
          <w:szCs w:val="28"/>
        </w:rPr>
      </w:pPr>
      <w:r>
        <w:rPr>
          <w:rFonts w:hint="eastAsia" w:ascii="楷体_GB2312" w:hAnsi="宋体" w:eastAsia="楷体_GB2312"/>
          <w:b/>
          <w:color w:val="000000"/>
          <w:sz w:val="28"/>
          <w:szCs w:val="28"/>
        </w:rPr>
        <w:t>绿色公园</w:t>
      </w:r>
    </w:p>
    <w:p>
      <w:pPr>
        <w:widowControl/>
        <w:snapToGrid w:val="0"/>
        <w:spacing w:line="520" w:lineRule="exact"/>
        <w:ind w:firstLine="592" w:firstLineChars="200"/>
        <w:rPr>
          <w:rFonts w:ascii="楷体_GB2312" w:eastAsia="楷体_GB2312" w:cs="Arial"/>
          <w:bCs/>
          <w:color w:val="000000"/>
          <w:spacing w:val="8"/>
          <w:kern w:val="0"/>
          <w:sz w:val="28"/>
          <w:szCs w:val="28"/>
        </w:rPr>
      </w:pPr>
      <w:r>
        <w:rPr>
          <w:rFonts w:hint="eastAsia" w:ascii="楷体_GB2312" w:hAnsi="宋体" w:eastAsia="楷体_GB2312" w:cs="Arial"/>
          <w:bCs/>
          <w:color w:val="000000"/>
          <w:spacing w:val="8"/>
          <w:kern w:val="0"/>
          <w:sz w:val="28"/>
          <w:szCs w:val="28"/>
        </w:rPr>
        <w:t>绿色是最富有生命力的色彩，自然是孩子们最生动的老师。我们致力的</w:t>
      </w:r>
      <w:r>
        <w:rPr>
          <w:rFonts w:hint="eastAsia" w:ascii="楷体_GB2312" w:hAnsi="宋体" w:eastAsia="楷体_GB2312"/>
          <w:bCs/>
          <w:color w:val="000000"/>
          <w:sz w:val="28"/>
          <w:szCs w:val="28"/>
        </w:rPr>
        <w:t>绿色公园</w:t>
      </w:r>
      <w:r>
        <w:rPr>
          <w:rFonts w:hint="eastAsia" w:ascii="楷体_GB2312" w:hAnsi="宋体" w:eastAsia="楷体_GB2312" w:cs="Arial"/>
          <w:bCs/>
          <w:color w:val="000000"/>
          <w:spacing w:val="8"/>
          <w:kern w:val="0"/>
          <w:sz w:val="28"/>
          <w:szCs w:val="28"/>
        </w:rPr>
        <w:t>不仅仅是“绿化”，我们更主张自然的教育从课堂渗透扩展到全校整体性的教育和管理，鼓励师生的民主公平地共同参与学校环境教育活动，加强学校与家长的合作和联系，在实践参与的过程中发展面向可持续发展的基本知识、技能、态度、情感、价值观和道德行为，即提高全体教职员工和学生的环境素养，并将这样的影响扩大到社区、家庭，落实环保行动，树立关爱人类环境，保护地球家园，建设美好共享空间的自我意识。　</w:t>
      </w:r>
    </w:p>
    <w:p>
      <w:pPr>
        <w:widowControl/>
        <w:snapToGrid w:val="0"/>
        <w:spacing w:line="520" w:lineRule="exact"/>
        <w:ind w:firstLine="592" w:firstLineChars="200"/>
        <w:rPr>
          <w:rFonts w:ascii="楷体_GB2312" w:eastAsia="楷体_GB2312" w:cs="Arial"/>
          <w:bCs/>
          <w:color w:val="000000"/>
          <w:spacing w:val="8"/>
          <w:kern w:val="0"/>
          <w:sz w:val="28"/>
          <w:szCs w:val="28"/>
        </w:rPr>
      </w:pPr>
      <w:r>
        <w:rPr>
          <w:rFonts w:hint="eastAsia" w:ascii="楷体_GB2312" w:eastAsia="楷体_GB2312" w:cs="Arial"/>
          <w:bCs/>
          <w:color w:val="000000"/>
          <w:spacing w:val="8"/>
          <w:kern w:val="0"/>
          <w:sz w:val="28"/>
          <w:szCs w:val="28"/>
        </w:rPr>
        <w:t xml:space="preserve">营造绿色低碳氛围——种植课程、低碳生活课程、自我救护课程 </w:t>
      </w:r>
    </w:p>
    <w:p>
      <w:pPr>
        <w:pStyle w:val="8"/>
        <w:spacing w:before="0" w:beforeAutospacing="0" w:after="0" w:afterAutospacing="0" w:line="520" w:lineRule="exact"/>
        <w:ind w:firstLine="551" w:firstLineChars="196"/>
        <w:jc w:val="both"/>
        <w:rPr>
          <w:rFonts w:ascii="楷体_GB2312" w:eastAsia="楷体_GB2312"/>
          <w:b/>
          <w:bCs/>
          <w:color w:val="000000"/>
          <w:sz w:val="28"/>
          <w:szCs w:val="28"/>
        </w:rPr>
      </w:pPr>
      <w:r>
        <w:rPr>
          <w:rFonts w:hint="eastAsia" w:ascii="楷体_GB2312" w:eastAsia="楷体_GB2312"/>
          <w:b/>
          <w:bCs/>
          <w:color w:val="000000"/>
          <w:sz w:val="28"/>
          <w:szCs w:val="28"/>
        </w:rPr>
        <w:t>儿童乐园</w:t>
      </w:r>
    </w:p>
    <w:p>
      <w:pPr>
        <w:pStyle w:val="8"/>
        <w:spacing w:before="0" w:beforeAutospacing="0" w:after="0" w:afterAutospacing="0" w:line="520" w:lineRule="exact"/>
        <w:ind w:firstLine="560" w:firstLineChars="200"/>
        <w:jc w:val="both"/>
        <w:rPr>
          <w:bCs/>
          <w:color w:val="000000"/>
          <w:sz w:val="28"/>
          <w:szCs w:val="28"/>
        </w:rPr>
      </w:pPr>
      <w:r>
        <w:rPr>
          <w:rFonts w:hint="eastAsia" w:ascii="楷体_GB2312" w:eastAsia="楷体_GB2312"/>
          <w:bCs/>
          <w:color w:val="000000"/>
          <w:sz w:val="28"/>
          <w:szCs w:val="28"/>
        </w:rPr>
        <w:t>营造促进学生自主学习和情感历程的活动氛围——德育教育课程（每周1次国旗下活动和班队会、定期开展各类德育活动）；艺术活动课程（每月一次美术类作品展览和主题音乐会)；体育活动课程（每学期一次全校运动会、每学期一次综合艺体展演）；学生社团课程（每周一、五下午开展活动,跨年级,跨班选修）</w:t>
      </w:r>
    </w:p>
    <w:p>
      <w:pPr>
        <w:pStyle w:val="3"/>
        <w:numPr>
          <w:ilvl w:val="0"/>
          <w:numId w:val="2"/>
        </w:numPr>
        <w:tabs>
          <w:tab w:val="left" w:pos="0"/>
          <w:tab w:val="clear" w:pos="720"/>
        </w:tabs>
        <w:snapToGrid w:val="0"/>
        <w:spacing w:line="520" w:lineRule="exact"/>
        <w:ind w:left="0" w:firstLine="481" w:firstLineChars="171"/>
        <w:rPr>
          <w:rFonts w:ascii="楷体_GB2312" w:eastAsia="楷体_GB2312"/>
          <w:b/>
          <w:bCs/>
          <w:color w:val="000000"/>
          <w:sz w:val="28"/>
          <w:szCs w:val="28"/>
        </w:rPr>
      </w:pPr>
      <w:r>
        <w:rPr>
          <w:rFonts w:hint="eastAsia" w:ascii="楷体_GB2312" w:hAnsi="宋体" w:eastAsia="楷体_GB2312"/>
          <w:b/>
          <w:bCs/>
          <w:color w:val="000000"/>
          <w:sz w:val="28"/>
          <w:szCs w:val="28"/>
        </w:rPr>
        <w:t>改进课堂教学策略         贯穿“分享”</w:t>
      </w:r>
    </w:p>
    <w:p>
      <w:pPr>
        <w:pStyle w:val="3"/>
        <w:snapToGrid w:val="0"/>
        <w:spacing w:line="520" w:lineRule="exact"/>
        <w:ind w:firstLineChars="0"/>
        <w:rPr>
          <w:rFonts w:ascii="楷体_GB2312" w:eastAsia="楷体_GB2312"/>
          <w:bCs/>
          <w:color w:val="000000"/>
          <w:sz w:val="28"/>
          <w:szCs w:val="28"/>
        </w:rPr>
      </w:pPr>
      <w:r>
        <w:rPr>
          <w:rFonts w:hint="eastAsia" w:ascii="楷体_GB2312" w:eastAsia="楷体_GB2312"/>
          <w:bCs/>
          <w:color w:val="000000"/>
          <w:sz w:val="28"/>
          <w:szCs w:val="28"/>
        </w:rPr>
        <w:t xml:space="preserve">将“分享”的理念渗透进课堂教学； </w:t>
      </w:r>
    </w:p>
    <w:p>
      <w:pPr>
        <w:pStyle w:val="3"/>
        <w:snapToGrid w:val="0"/>
        <w:spacing w:line="520" w:lineRule="exact"/>
        <w:ind w:firstLineChars="150"/>
        <w:rPr>
          <w:rFonts w:ascii="楷体_GB2312" w:eastAsia="楷体_GB2312"/>
          <w:bCs/>
          <w:color w:val="000000"/>
          <w:sz w:val="28"/>
          <w:szCs w:val="28"/>
        </w:rPr>
      </w:pPr>
      <w:r>
        <w:rPr>
          <w:rFonts w:hint="eastAsia" w:ascii="楷体_GB2312" w:eastAsia="楷体_GB2312"/>
          <w:bCs/>
          <w:color w:val="000000"/>
          <w:sz w:val="28"/>
          <w:szCs w:val="28"/>
        </w:rPr>
        <w:t xml:space="preserve">将课堂的主动权还给学生，逐步形成自主学习的学习方式； </w:t>
      </w:r>
    </w:p>
    <w:p>
      <w:pPr>
        <w:pStyle w:val="3"/>
        <w:snapToGrid w:val="0"/>
        <w:spacing w:line="520" w:lineRule="exact"/>
        <w:ind w:firstLineChars="150"/>
        <w:rPr>
          <w:rFonts w:ascii="楷体_GB2312" w:eastAsia="楷体_GB2312"/>
          <w:bCs/>
          <w:color w:val="000000"/>
          <w:sz w:val="28"/>
          <w:szCs w:val="28"/>
        </w:rPr>
      </w:pPr>
      <w:r>
        <w:rPr>
          <w:rFonts w:hint="eastAsia" w:ascii="楷体_GB2312" w:eastAsia="楷体_GB2312"/>
          <w:bCs/>
          <w:color w:val="000000"/>
          <w:sz w:val="28"/>
          <w:szCs w:val="28"/>
        </w:rPr>
        <w:t xml:space="preserve">转变教师的教学观念和教学行为； </w:t>
      </w:r>
    </w:p>
    <w:p>
      <w:pPr>
        <w:pStyle w:val="3"/>
        <w:numPr>
          <w:ilvl w:val="0"/>
          <w:numId w:val="2"/>
        </w:numPr>
        <w:tabs>
          <w:tab w:val="left" w:pos="0"/>
          <w:tab w:val="clear" w:pos="720"/>
        </w:tabs>
        <w:spacing w:line="520" w:lineRule="exact"/>
        <w:ind w:left="0" w:firstLine="481" w:firstLineChars="171"/>
        <w:rPr>
          <w:rFonts w:ascii="楷体_GB2312" w:eastAsia="楷体_GB2312"/>
          <w:b/>
          <w:bCs/>
          <w:color w:val="000000"/>
          <w:sz w:val="28"/>
          <w:szCs w:val="28"/>
        </w:rPr>
      </w:pPr>
      <w:r>
        <w:rPr>
          <w:rFonts w:hint="eastAsia" w:ascii="楷体_GB2312" w:eastAsia="楷体_GB2312"/>
          <w:b/>
          <w:bCs/>
          <w:color w:val="000000"/>
          <w:sz w:val="28"/>
          <w:szCs w:val="28"/>
        </w:rPr>
        <w:t>关注学生的身心健康，建立多元评价体系</w:t>
      </w:r>
    </w:p>
    <w:p>
      <w:pPr>
        <w:widowControl/>
        <w:shd w:val="clear" w:color="auto" w:fill="FFFFFF"/>
        <w:spacing w:line="520" w:lineRule="exact"/>
        <w:ind w:firstLine="560" w:firstLineChars="200"/>
        <w:rPr>
          <w:rFonts w:ascii="楷体_GB2312" w:eastAsia="楷体_GB2312"/>
          <w:color w:val="000000"/>
          <w:sz w:val="28"/>
          <w:szCs w:val="28"/>
        </w:rPr>
      </w:pPr>
      <w:r>
        <w:rPr>
          <w:rFonts w:hint="eastAsia" w:ascii="楷体_GB2312" w:eastAsia="楷体_GB2312"/>
          <w:color w:val="000000"/>
          <w:sz w:val="28"/>
          <w:szCs w:val="28"/>
        </w:rPr>
        <w:t>我们关注学生的一生发展，淡化甄别与选拔，充分发挥多种评价主体的作用，关注个体差异，用发展和过程性的眼光看待每个学生，充分重视儿童在发展过程中的各种可能性，并为这种可能性向良性循环发展建立较为科学的评价机制。</w:t>
      </w:r>
    </w:p>
    <w:p>
      <w:pPr>
        <w:spacing w:line="520" w:lineRule="exact"/>
        <w:ind w:firstLine="562" w:firstLineChars="200"/>
        <w:rPr>
          <w:rFonts w:ascii="楷体_GB2312" w:eastAsia="楷体_GB2312"/>
          <w:b/>
          <w:color w:val="000000"/>
          <w:sz w:val="28"/>
          <w:szCs w:val="28"/>
        </w:rPr>
      </w:pPr>
      <w:r>
        <w:rPr>
          <w:rFonts w:hint="eastAsia" w:ascii="楷体_GB2312" w:eastAsia="楷体_GB2312"/>
          <w:b/>
          <w:color w:val="000000"/>
          <w:sz w:val="28"/>
          <w:szCs w:val="28"/>
        </w:rPr>
        <w:t>㈡实施和谐课堂，提升教育质量</w:t>
      </w:r>
    </w:p>
    <w:p>
      <w:pPr>
        <w:spacing w:line="520" w:lineRule="exact"/>
        <w:ind w:firstLine="551" w:firstLineChars="196"/>
        <w:rPr>
          <w:rFonts w:ascii="楷体_GB2312" w:eastAsia="楷体_GB2312"/>
          <w:b/>
          <w:bCs/>
          <w:color w:val="000000"/>
          <w:sz w:val="28"/>
          <w:szCs w:val="28"/>
        </w:rPr>
      </w:pPr>
      <w:r>
        <w:rPr>
          <w:rFonts w:hint="eastAsia" w:ascii="楷体_GB2312" w:hAnsi="宋体" w:eastAsia="楷体_GB2312"/>
          <w:b/>
          <w:bCs/>
          <w:color w:val="000000"/>
          <w:sz w:val="28"/>
          <w:szCs w:val="28"/>
        </w:rPr>
        <w:t>1.指导思想</w:t>
      </w:r>
    </w:p>
    <w:p>
      <w:pPr>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以全面提高教育质量为核心，不断完善和优化教学管理，充分挖掘师生的创造潜能，以教研活动为载体，促进教师专业化发展，完善教学管理制度，</w:t>
      </w:r>
      <w:r>
        <w:rPr>
          <w:rFonts w:hint="eastAsia" w:ascii="楷体_GB2312" w:hAnsi="宋体" w:eastAsia="楷体_GB2312"/>
          <w:color w:val="000000"/>
          <w:sz w:val="28"/>
          <w:szCs w:val="28"/>
        </w:rPr>
        <w:t>促进每一个学生最大限度的发展。</w:t>
      </w:r>
    </w:p>
    <w:p>
      <w:pPr>
        <w:spacing w:line="520" w:lineRule="exact"/>
        <w:ind w:firstLine="551" w:firstLineChars="196"/>
        <w:rPr>
          <w:rFonts w:ascii="楷体_GB2312" w:eastAsia="楷体_GB2312"/>
          <w:b/>
          <w:bCs/>
          <w:color w:val="000000"/>
          <w:sz w:val="28"/>
          <w:szCs w:val="28"/>
        </w:rPr>
      </w:pPr>
      <w:r>
        <w:rPr>
          <w:rFonts w:hint="eastAsia" w:ascii="楷体_GB2312" w:hAnsi="宋体" w:eastAsia="楷体_GB2312"/>
          <w:b/>
          <w:bCs/>
          <w:color w:val="000000"/>
          <w:sz w:val="28"/>
          <w:szCs w:val="28"/>
        </w:rPr>
        <w:t>2.教学策略：</w:t>
      </w:r>
    </w:p>
    <w:p>
      <w:pPr>
        <w:spacing w:line="520" w:lineRule="exact"/>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 xml:space="preserve">    依法治教，严格执行课程计划；</w:t>
      </w:r>
    </w:p>
    <w:p>
      <w:pPr>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精细管理教学过程，提高教学有效性；</w:t>
      </w:r>
    </w:p>
    <w:p>
      <w:pPr>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研究教学质量分析，有效落实课程目标；</w:t>
      </w:r>
    </w:p>
    <w:p>
      <w:pPr>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开展校本培训，努力促进教师专业发展；</w:t>
      </w:r>
    </w:p>
    <w:p>
      <w:pPr>
        <w:spacing w:line="520" w:lineRule="exact"/>
        <w:ind w:firstLine="551" w:firstLineChars="196"/>
        <w:rPr>
          <w:rFonts w:ascii="楷体_GB2312" w:eastAsia="楷体_GB2312" w:cs="宋体"/>
          <w:b/>
          <w:bCs/>
          <w:color w:val="000000"/>
          <w:kern w:val="0"/>
          <w:sz w:val="28"/>
          <w:szCs w:val="28"/>
        </w:rPr>
      </w:pPr>
      <w:r>
        <w:rPr>
          <w:rFonts w:hint="eastAsia" w:ascii="楷体_GB2312" w:hAnsi="宋体" w:eastAsia="楷体_GB2312" w:cs="宋体"/>
          <w:b/>
          <w:bCs/>
          <w:color w:val="000000"/>
          <w:kern w:val="0"/>
          <w:sz w:val="28"/>
          <w:szCs w:val="28"/>
        </w:rPr>
        <w:t>3.操作方式</w:t>
      </w:r>
    </w:p>
    <w:p>
      <w:pPr>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⑴落实教学常规工作</w:t>
      </w:r>
    </w:p>
    <w:p>
      <w:pPr>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教学工作目标：</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以先进的教育理念指导课堂教学，以现代信息技术整合学科教学，逐步建设多元教育作用的课堂教学模式，课堂教学要以学生的学会学习为标志，最大限度调动学生学习主动性，逐步形成主动思考、自主探究、合作学习的新型学习方式，培养学生终生学习的意识和能力，并建立相应的教学管理制度，规范教学常规管理，优化教学过程，提高教学质量。</w:t>
      </w:r>
    </w:p>
    <w:p>
      <w:pPr>
        <w:widowControl/>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途径与方法：</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科学、规范动态流程管理中，完善目标管理，采用对实施目标的过程和结果考核并重的做法，创造性地开展工作，进一步完善规范、科学的教学管理机制，建立能促进教师专业成长的考评制度。</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任课教师、教研组、教导处明确岗位目标，备课组、教研组充分发挥教学研究功能，在正常、有序、科学地开展教研活动基础上，各组形成特色。</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广泛开展课堂教学的改革，充分发挥区、校教学骨干作用，做到全员参与课堂教学改革，在改革过程中逐步形成区级优势学科。</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以现代信息技术整合学科教学，创设情境，激发兴趣，引导学生带着问题学习思考、探索发现、合作交流，在自主研究中学会学习，培养学生研究性学习能力。</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充分发挥教研组的研讨功能，各教研组至少有一个以上的小课题研究内容，并切实开展行动研究。</w:t>
      </w:r>
    </w:p>
    <w:p>
      <w:pPr>
        <w:widowControl/>
        <w:adjustRightInd w:val="0"/>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逐步形成具有本校特色的拓展型课程框架，通过拓展型课程，扩大和改善学生的知识面，满足学生选择学习和个性发展的需要。</w:t>
      </w:r>
    </w:p>
    <w:p>
      <w:pPr>
        <w:widowControl/>
        <w:spacing w:line="520" w:lineRule="exact"/>
        <w:ind w:firstLine="560" w:firstLineChars="200"/>
        <w:rPr>
          <w:rFonts w:ascii="楷体_GB2312" w:hAnsi="宋体" w:eastAsia="楷体_GB2312" w:cs="宋体"/>
          <w:color w:val="000000"/>
          <w:kern w:val="0"/>
          <w:sz w:val="28"/>
          <w:szCs w:val="28"/>
        </w:rPr>
      </w:pPr>
      <w:r>
        <w:rPr>
          <w:rFonts w:hint="eastAsia" w:ascii="楷体_GB2312" w:hAnsi="宋体" w:eastAsia="楷体_GB2312" w:cs="宋体"/>
          <w:color w:val="000000"/>
          <w:kern w:val="0"/>
          <w:sz w:val="28"/>
          <w:szCs w:val="28"/>
        </w:rPr>
        <w:t>改变传统的课堂教学评价模式，建立师生互评、互动的教学评估机制。教师注重对学生学习过程的评价，让学生参与建立个人成长记录袋，在纵向评价中体验自己的进步。各学科建立具有本学科特点的、可操作的科学评价方式。</w:t>
      </w:r>
    </w:p>
    <w:p>
      <w:pPr>
        <w:ind w:firstLine="560" w:firstLineChars="200"/>
        <w:rPr>
          <w:rFonts w:ascii="楷体_GB2312" w:eastAsia="楷体_GB2312" w:hAnsiTheme="majorEastAsia"/>
          <w:b/>
          <w:color w:val="000000"/>
          <w:sz w:val="28"/>
          <w:szCs w:val="28"/>
        </w:rPr>
      </w:pPr>
      <w:r>
        <w:rPr>
          <w:rFonts w:hint="eastAsia" w:ascii="楷体_GB2312" w:hAnsi="宋体" w:eastAsia="楷体_GB2312" w:cs="宋体"/>
          <w:sz w:val="28"/>
          <w:szCs w:val="28"/>
        </w:rPr>
        <w:t>教育现代化和信息化，稳中求进。</w:t>
      </w:r>
      <w:r>
        <w:rPr>
          <w:rFonts w:hint="eastAsia" w:ascii="楷体_GB2312" w:eastAsia="楷体_GB2312" w:hAnsiTheme="majorEastAsia"/>
          <w:sz w:val="28"/>
          <w:szCs w:val="28"/>
        </w:rPr>
        <w:t>为了培养学生的创新精神和创新能力，建设</w:t>
      </w:r>
      <w:r>
        <w:rPr>
          <w:rFonts w:hint="eastAsia" w:ascii="楷体_GB2312" w:hAnsi="宋体" w:eastAsia="楷体_GB2312"/>
          <w:sz w:val="28"/>
          <w:szCs w:val="28"/>
        </w:rPr>
        <w:t>高度信息化、智能化的“创新学园”</w:t>
      </w:r>
      <w:r>
        <w:rPr>
          <w:rFonts w:hint="eastAsia" w:ascii="楷体_GB2312" w:eastAsia="楷体_GB2312" w:hAnsiTheme="majorEastAsia"/>
          <w:sz w:val="28"/>
          <w:szCs w:val="28"/>
        </w:rPr>
        <w:t>。围绕这一工作思路主要做了如下工作：有</w:t>
      </w:r>
      <w:r>
        <w:rPr>
          <w:rFonts w:hint="eastAsia" w:ascii="楷体_GB2312" w:eastAsia="楷体_GB2312" w:hAnsiTheme="majorEastAsia"/>
          <w:color w:val="000000"/>
          <w:sz w:val="28"/>
          <w:szCs w:val="28"/>
        </w:rPr>
        <w:t>针对性的对教师开展了信息技术培训工作；</w:t>
      </w:r>
    </w:p>
    <w:p>
      <w:pPr>
        <w:rPr>
          <w:rFonts w:ascii="楷体_GB2312" w:eastAsia="楷体_GB2312" w:hAnsiTheme="majorEastAsia"/>
          <w:sz w:val="28"/>
          <w:szCs w:val="28"/>
        </w:rPr>
      </w:pPr>
      <w:r>
        <w:rPr>
          <w:rFonts w:hint="eastAsia" w:ascii="楷体_GB2312" w:eastAsia="楷体_GB2312" w:hAnsiTheme="majorEastAsia"/>
          <w:color w:val="000000"/>
          <w:sz w:val="28"/>
          <w:szCs w:val="28"/>
        </w:rPr>
        <w:t>对已有各功能室进行升级、管理和维护，定期进行安全排查；</w:t>
      </w:r>
      <w:r>
        <w:rPr>
          <w:rFonts w:hint="eastAsia" w:ascii="楷体_GB2312" w:eastAsia="楷体_GB2312" w:hAnsiTheme="majorEastAsia"/>
          <w:sz w:val="28"/>
          <w:szCs w:val="28"/>
        </w:rPr>
        <w:t>加强学校网络环境建设，实现</w:t>
      </w:r>
      <w:r>
        <w:rPr>
          <w:rFonts w:hint="eastAsia" w:ascii="楷体_GB2312" w:eastAsia="楷体_GB2312" w:hAnsiTheme="majorEastAsia"/>
          <w:color w:val="000000"/>
          <w:sz w:val="28"/>
          <w:szCs w:val="28"/>
        </w:rPr>
        <w:t>有线、无线校园全覆盖；</w:t>
      </w:r>
      <w:r>
        <w:rPr>
          <w:rFonts w:hint="eastAsia" w:ascii="楷体_GB2312" w:eastAsia="楷体_GB2312" w:cs="宋体" w:hAnsiTheme="majorEastAsia"/>
          <w:color w:val="000000"/>
          <w:kern w:val="0"/>
          <w:sz w:val="28"/>
          <w:szCs w:val="28"/>
        </w:rPr>
        <w:t>开展数字一对一互动教学和翻转课堂教学；打造APP智能微校园；开发学校教育云平台，</w:t>
      </w:r>
      <w:r>
        <w:rPr>
          <w:rFonts w:hint="eastAsia" w:ascii="楷体_GB2312" w:eastAsia="楷体_GB2312" w:hAnsiTheme="majorEastAsia"/>
          <w:sz w:val="28"/>
          <w:szCs w:val="28"/>
        </w:rPr>
        <w:t>推动了教与学方式的变革和教师专业化成长。</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每年开出一批有特色、有新意的校级研讨课，结合网络工程的开通，逐步建成具有校本特色的课题资源库。</w:t>
      </w:r>
    </w:p>
    <w:p>
      <w:pPr>
        <w:widowControl/>
        <w:spacing w:line="520" w:lineRule="exact"/>
        <w:ind w:firstLine="562" w:firstLineChars="200"/>
        <w:rPr>
          <w:rFonts w:ascii="楷体_GB2312" w:eastAsia="楷体_GB2312" w:cs="宋体"/>
          <w:b/>
          <w:bCs/>
          <w:color w:val="000000"/>
          <w:kern w:val="0"/>
          <w:sz w:val="28"/>
          <w:szCs w:val="28"/>
        </w:rPr>
      </w:pPr>
      <w:r>
        <w:rPr>
          <w:rFonts w:hint="eastAsia" w:ascii="楷体_GB2312" w:hAnsi="宋体" w:eastAsia="楷体_GB2312" w:cs="宋体"/>
          <w:b/>
          <w:bCs/>
          <w:color w:val="000000"/>
          <w:kern w:val="0"/>
          <w:sz w:val="28"/>
          <w:szCs w:val="28"/>
        </w:rPr>
        <w:t>⑵开展特色校本教研</w:t>
      </w:r>
    </w:p>
    <w:p>
      <w:pPr>
        <w:widowControl/>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工作目标：</w:t>
      </w:r>
    </w:p>
    <w:p>
      <w:pPr>
        <w:widowControl/>
        <w:spacing w:line="520" w:lineRule="exact"/>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 xml:space="preserve">    校本研究与新课程相适应，使其成为推动学校课程改革的有效途径，完善校本教研制度，营造有利于教师教研的氛围，扎实推进校本教研活动，以促进教师专业发展为目标。</w:t>
      </w:r>
    </w:p>
    <w:p>
      <w:pPr>
        <w:widowControl/>
        <w:spacing w:line="520" w:lineRule="exact"/>
        <w:ind w:firstLine="562" w:firstLineChars="200"/>
        <w:rPr>
          <w:rFonts w:ascii="楷体_GB2312" w:eastAsia="楷体_GB2312" w:cs="宋体"/>
          <w:color w:val="000000"/>
          <w:kern w:val="0"/>
          <w:sz w:val="28"/>
          <w:szCs w:val="28"/>
        </w:rPr>
      </w:pPr>
      <w:r>
        <w:rPr>
          <w:rFonts w:hint="eastAsia" w:ascii="楷体_GB2312" w:hAnsi="宋体" w:eastAsia="楷体_GB2312" w:cs="宋体"/>
          <w:b/>
          <w:color w:val="000000"/>
          <w:kern w:val="0"/>
          <w:sz w:val="28"/>
          <w:szCs w:val="28"/>
        </w:rPr>
        <w:t>途径与方法</w:t>
      </w:r>
      <w:r>
        <w:rPr>
          <w:rFonts w:hint="eastAsia" w:ascii="楷体_GB2312" w:hAnsi="宋体" w:eastAsia="楷体_GB2312" w:cs="宋体"/>
          <w:color w:val="000000"/>
          <w:kern w:val="0"/>
          <w:sz w:val="28"/>
          <w:szCs w:val="28"/>
        </w:rPr>
        <w:t>：</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完善教研组长联席会议制度——每月组织一次教研、备课组长联席会议，共同学习教育先进理念，探讨教学先进方法，分享组内成员的成果。</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完善跨学科教研活动制度——每月至少有一次学科教研活动是跨学科的，如语文教研活动必须要有外语、艺术教师等参加。</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完善年级组管理制度——由年级组长具体负责该年级的教育教学管理、教研科研管理，包括设计和组织实施各种教育教学活动等，这样，不仅充分发挥了年级组长的主观能动性，而且更凝聚了年级组的团队合作精神。</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完善激励制度——组织形式多样的参评活动，如优秀教案（活动）设计、说课评比、优秀随笔、论文评选、案例选拔、试卷评比，及时奖励成绩突出的实验教师，促进每位教师能说、会写、善评、敢想。</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完善教研组长、备课组长优先制和考评制——国内外教育教学听课、学习、参观、考察活动等组长优先考虑。每学期期中、期末两次由教导处、年级组、组员分别对组长进行综合评价，按综合评价结果对组长进行奖励，并以此作为下学期续聘组长的依据。</w:t>
      </w:r>
    </w:p>
    <w:p>
      <w:pPr>
        <w:widowControl/>
        <w:spacing w:line="520" w:lineRule="exact"/>
        <w:ind w:firstLine="562" w:firstLineChars="200"/>
        <w:rPr>
          <w:rFonts w:ascii="楷体_GB2312" w:eastAsia="楷体_GB2312" w:cs="宋体"/>
          <w:b/>
          <w:bCs/>
          <w:color w:val="000000"/>
          <w:kern w:val="0"/>
          <w:sz w:val="28"/>
          <w:szCs w:val="28"/>
        </w:rPr>
      </w:pPr>
      <w:r>
        <w:rPr>
          <w:rFonts w:hint="eastAsia" w:ascii="楷体_GB2312" w:hAnsi="宋体" w:eastAsia="楷体_GB2312" w:cs="宋体"/>
          <w:b/>
          <w:bCs/>
          <w:color w:val="000000"/>
          <w:kern w:val="0"/>
          <w:sz w:val="28"/>
          <w:szCs w:val="28"/>
        </w:rPr>
        <w:t>⑶组织教育科研工作</w:t>
      </w:r>
    </w:p>
    <w:p>
      <w:pPr>
        <w:widowControl/>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工作目标：</w:t>
      </w:r>
    </w:p>
    <w:p>
      <w:pPr>
        <w:widowControl/>
        <w:spacing w:line="520" w:lineRule="exact"/>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 xml:space="preserve">    以课题为中心，建立集体合作的研究目标：根据教学实际，把工作中的问题转化为科研课题，在备课组内以课题为龙头，全组教师参与教育科研，推动教研科研一体化，促进教师之间相互交流，使教师整体研究水平逐一提高，从而促进教师尽快地从传统的角色中走出来，使广大教师具备一定的科研素质，成为新课程的实施者、研究者和创造者。</w:t>
      </w:r>
    </w:p>
    <w:p>
      <w:pPr>
        <w:widowControl/>
        <w:spacing w:line="520" w:lineRule="exact"/>
        <w:ind w:firstLine="562" w:firstLineChars="200"/>
        <w:rPr>
          <w:rFonts w:ascii="楷体_GB2312" w:hAnsi="宋体" w:eastAsia="楷体_GB2312" w:cs="宋体"/>
          <w:b/>
          <w:color w:val="000000"/>
          <w:kern w:val="0"/>
          <w:sz w:val="28"/>
          <w:szCs w:val="28"/>
        </w:rPr>
      </w:pPr>
      <w:r>
        <w:rPr>
          <w:rFonts w:hint="eastAsia" w:ascii="楷体_GB2312" w:hAnsi="宋体" w:eastAsia="楷体_GB2312" w:cs="宋体"/>
          <w:b/>
          <w:color w:val="000000"/>
          <w:kern w:val="0"/>
          <w:sz w:val="28"/>
          <w:szCs w:val="28"/>
        </w:rPr>
        <w:t>途径与方法：</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形成规模效应，学校总体科研氛围形成课题化、系列化，加强教育科研功能的开发，依据教师的科研开发意识形成各子课题，课题研究纵横交错，细化研究过程。</w:t>
      </w:r>
    </w:p>
    <w:p>
      <w:pPr>
        <w:spacing w:line="520" w:lineRule="exact"/>
        <w:ind w:firstLine="560" w:firstLineChars="200"/>
        <w:rPr>
          <w:rFonts w:ascii="楷体_GB2312" w:eastAsia="楷体_GB2312"/>
          <w:b/>
          <w:bCs/>
          <w:color w:val="000000"/>
          <w:sz w:val="28"/>
          <w:szCs w:val="28"/>
        </w:rPr>
      </w:pPr>
      <w:r>
        <w:rPr>
          <w:rFonts w:hint="eastAsia" w:ascii="楷体_GB2312" w:hAnsi="宋体" w:eastAsia="楷体_GB2312" w:cs="宋体"/>
          <w:color w:val="000000"/>
          <w:kern w:val="0"/>
          <w:sz w:val="28"/>
          <w:szCs w:val="28"/>
        </w:rPr>
        <w:t>教学管理部参与对教师科研课题的指导和调研，加大力度，从实际出发真正使教育科研工作在基层开展实施，做到教师人人有课题，科研落实到教育教学中。</w:t>
      </w:r>
    </w:p>
    <w:p>
      <w:pPr>
        <w:spacing w:line="520" w:lineRule="exact"/>
        <w:ind w:firstLine="551" w:firstLineChars="196"/>
        <w:rPr>
          <w:rFonts w:ascii="楷体_GB2312" w:eastAsia="楷体_GB2312"/>
          <w:b/>
          <w:bCs/>
          <w:color w:val="000000"/>
          <w:sz w:val="28"/>
          <w:szCs w:val="28"/>
        </w:rPr>
      </w:pPr>
      <w:r>
        <w:rPr>
          <w:rFonts w:hint="eastAsia" w:ascii="楷体_GB2312" w:eastAsia="楷体_GB2312"/>
          <w:b/>
          <w:bCs/>
          <w:color w:val="000000"/>
          <w:sz w:val="28"/>
          <w:szCs w:val="28"/>
        </w:rPr>
        <w:t>二、实施和谐德育，提升教育管理</w:t>
      </w:r>
    </w:p>
    <w:p>
      <w:pPr>
        <w:spacing w:line="520" w:lineRule="exact"/>
        <w:ind w:firstLine="562" w:firstLineChars="200"/>
        <w:rPr>
          <w:rFonts w:ascii="楷体_GB2312" w:eastAsia="楷体_GB2312"/>
          <w:b/>
          <w:bCs/>
          <w:color w:val="000000"/>
          <w:sz w:val="28"/>
          <w:szCs w:val="28"/>
        </w:rPr>
      </w:pPr>
      <w:r>
        <w:rPr>
          <w:rFonts w:hint="eastAsia" w:ascii="楷体_GB2312" w:eastAsia="楷体_GB2312"/>
          <w:b/>
          <w:bCs/>
          <w:color w:val="000000"/>
          <w:sz w:val="28"/>
          <w:szCs w:val="28"/>
        </w:rPr>
        <w:t>1.指导思想</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深入贯彻落实《中共中央国务院关于进一步加强和改进未成年人思想道德建设的若干意见》，实施教育部颁布的《中小学生守则》《小学生日常行为规范》，践行《蒙小娃娃宣言》，努力创设利于学生身心健康、快乐成长的环境，坚持以宽松和谐的环境育人，以健全的制度规范人，以发展的目标凝聚人，使德育工作落到实处，更上一个台阶。</w:t>
      </w:r>
    </w:p>
    <w:p>
      <w:pPr>
        <w:spacing w:line="520" w:lineRule="exact"/>
        <w:ind w:firstLine="560" w:firstLineChars="200"/>
        <w:rPr>
          <w:rFonts w:ascii="楷体_GB2312" w:eastAsia="楷体_GB2312"/>
          <w:caps/>
          <w:color w:val="000000"/>
          <w:sz w:val="28"/>
          <w:szCs w:val="28"/>
        </w:rPr>
      </w:pPr>
      <w:r>
        <w:rPr>
          <w:rFonts w:hint="eastAsia" w:ascii="楷体_GB2312" w:hAnsi="宋体" w:eastAsia="楷体_GB2312"/>
          <w:bCs/>
          <w:caps/>
          <w:color w:val="000000"/>
          <w:sz w:val="28"/>
          <w:szCs w:val="28"/>
        </w:rPr>
        <w:t>习惯养成  家校共育</w:t>
      </w:r>
      <w:r>
        <w:rPr>
          <w:rFonts w:hint="eastAsia" w:ascii="楷体_GB2312" w:hAnsi="宋体" w:eastAsia="楷体_GB2312"/>
          <w:b/>
          <w:bCs/>
          <w:caps/>
          <w:color w:val="000000"/>
          <w:sz w:val="28"/>
          <w:szCs w:val="28"/>
        </w:rPr>
        <w:t>——</w:t>
      </w:r>
      <w:r>
        <w:rPr>
          <w:rFonts w:hint="eastAsia" w:ascii="楷体_GB2312" w:hAnsi="宋体" w:eastAsia="楷体_GB2312"/>
          <w:caps/>
          <w:color w:val="000000"/>
          <w:sz w:val="28"/>
          <w:szCs w:val="28"/>
        </w:rPr>
        <w:t>以《蒙小娃娃宣言》为目标，以丰富多彩的德育课程为载体，最大可能为学生创造实践体验锻炼的时空，加强学生做人的教育和行为习惯规范训练，培养学生具有健壮的身体、健康的心理、良好的个性、健全的人格等基本素质。以“了解－满足－超越－引领”家长教育需求为理念，以家校间的“沟通－交流－合作－分享”为主题，以家长、孩子、教师、学校之间的“理解－信任－满意－互动—感动”为目标，努力实现家校教育相长、实现家长资源优势向教育资源优势的不断转化，促进家校和谐、亲子和谐，不断提高家校教育合作的品质、层次、幸福指数和成功指数。</w:t>
      </w:r>
    </w:p>
    <w:p>
      <w:pPr>
        <w:spacing w:line="520" w:lineRule="exact"/>
        <w:ind w:firstLine="562" w:firstLineChars="200"/>
        <w:rPr>
          <w:rFonts w:ascii="楷体_GB2312" w:eastAsia="楷体_GB2312"/>
          <w:b/>
          <w:bCs/>
          <w:color w:val="000000"/>
          <w:sz w:val="28"/>
          <w:szCs w:val="28"/>
        </w:rPr>
      </w:pPr>
      <w:r>
        <w:rPr>
          <w:rFonts w:hint="eastAsia" w:ascii="楷体_GB2312" w:hAnsi="宋体" w:eastAsia="楷体_GB2312"/>
          <w:b/>
          <w:bCs/>
          <w:color w:val="000000"/>
          <w:sz w:val="28"/>
          <w:szCs w:val="28"/>
        </w:rPr>
        <w:t>2.工作目标</w:t>
      </w:r>
    </w:p>
    <w:p>
      <w:pPr>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干干净净的校园；整整齐齐的队伍；高高兴兴的表情；标标准准的普通话；平平安安的师生；安安静静的校园；专专心心地上课</w:t>
      </w:r>
    </w:p>
    <w:p>
      <w:pPr>
        <w:spacing w:line="520" w:lineRule="exact"/>
        <w:ind w:firstLine="562" w:firstLineChars="200"/>
        <w:rPr>
          <w:rFonts w:ascii="楷体_GB2312" w:eastAsia="楷体_GB2312"/>
          <w:b/>
          <w:bCs/>
          <w:color w:val="000000"/>
          <w:sz w:val="28"/>
          <w:szCs w:val="28"/>
        </w:rPr>
      </w:pPr>
      <w:r>
        <w:rPr>
          <w:rFonts w:hint="eastAsia" w:ascii="楷体_GB2312" w:hAnsi="宋体" w:eastAsia="楷体_GB2312"/>
          <w:b/>
          <w:bCs/>
          <w:color w:val="000000"/>
          <w:sz w:val="28"/>
          <w:szCs w:val="28"/>
        </w:rPr>
        <w:t>3.工作要点</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⑴抓好队伍建设和管理，营造全员育人氛围</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①发挥学生工作部的德育核心作用，定期召开大队部、年级主任、班主任工作会，探索学校德育工作的新途径、新方法，不断促进德育目标的实现。</w:t>
      </w:r>
    </w:p>
    <w:p>
      <w:pPr>
        <w:spacing w:line="520" w:lineRule="exact"/>
        <w:ind w:firstLine="198"/>
        <w:rPr>
          <w:rFonts w:ascii="楷体_GB2312" w:eastAsia="楷体_GB2312"/>
          <w:color w:val="000000"/>
          <w:sz w:val="28"/>
          <w:szCs w:val="28"/>
        </w:rPr>
      </w:pPr>
      <w:r>
        <w:rPr>
          <w:rFonts w:hint="eastAsia" w:ascii="楷体_GB2312" w:hAnsi="宋体" w:eastAsia="楷体_GB2312"/>
          <w:color w:val="000000"/>
          <w:sz w:val="28"/>
          <w:szCs w:val="28"/>
        </w:rPr>
        <w:t xml:space="preserve">   在具体管理中，学生工作部抓好三条线的管理：</w:t>
      </w:r>
    </w:p>
    <w:p>
      <w:pPr>
        <w:spacing w:line="520" w:lineRule="exact"/>
        <w:ind w:firstLine="562" w:firstLineChars="200"/>
        <w:rPr>
          <w:rFonts w:ascii="楷体_GB2312" w:eastAsia="楷体_GB2312"/>
          <w:color w:val="000000"/>
          <w:sz w:val="28"/>
          <w:szCs w:val="28"/>
        </w:rPr>
      </w:pPr>
      <w:r>
        <w:rPr>
          <w:rFonts w:hint="eastAsia" w:ascii="楷体_GB2312" w:hAnsi="宋体" w:eastAsia="楷体_GB2312"/>
          <w:b/>
          <w:color w:val="000000"/>
          <w:sz w:val="28"/>
          <w:szCs w:val="28"/>
        </w:rPr>
        <w:t>班主任管理</w:t>
      </w:r>
      <w:r>
        <w:rPr>
          <w:rFonts w:hint="eastAsia" w:ascii="楷体_GB2312" w:hAnsi="宋体" w:eastAsia="楷体_GB2312"/>
          <w:color w:val="000000"/>
          <w:sz w:val="28"/>
          <w:szCs w:val="28"/>
        </w:rPr>
        <w:t>是学生工作部管理的灵魂，学生工作部抓好年级主任，年级主任来管理本年级的各班主任开展工作，各班主任整合各学科和家长教育资源促进学生的自主管理。</w:t>
      </w:r>
    </w:p>
    <w:p>
      <w:pPr>
        <w:spacing w:line="520" w:lineRule="exact"/>
        <w:ind w:firstLine="562" w:firstLineChars="200"/>
        <w:rPr>
          <w:rFonts w:ascii="楷体_GB2312" w:eastAsia="楷体_GB2312"/>
          <w:color w:val="000000"/>
          <w:sz w:val="28"/>
          <w:szCs w:val="28"/>
        </w:rPr>
      </w:pPr>
      <w:r>
        <w:rPr>
          <w:rFonts w:hint="eastAsia" w:ascii="楷体_GB2312" w:hAnsi="宋体" w:eastAsia="楷体_GB2312"/>
          <w:b/>
          <w:color w:val="000000"/>
          <w:sz w:val="28"/>
          <w:szCs w:val="28"/>
        </w:rPr>
        <w:t>学生干部管理</w:t>
      </w:r>
      <w:r>
        <w:rPr>
          <w:rFonts w:hint="eastAsia" w:ascii="楷体_GB2312" w:hAnsi="宋体" w:eastAsia="楷体_GB2312"/>
          <w:color w:val="000000"/>
          <w:sz w:val="28"/>
          <w:szCs w:val="28"/>
        </w:rPr>
        <w:t>是学生自主管理的重心，通过大队干部的五个部门提调全校学生的自主管理，开展各项评比、宣传。</w:t>
      </w:r>
    </w:p>
    <w:p>
      <w:pPr>
        <w:spacing w:line="520" w:lineRule="exact"/>
        <w:ind w:firstLine="562" w:firstLineChars="200"/>
        <w:rPr>
          <w:rFonts w:ascii="楷体_GB2312" w:eastAsia="楷体_GB2312"/>
          <w:color w:val="000000"/>
          <w:sz w:val="28"/>
          <w:szCs w:val="28"/>
        </w:rPr>
      </w:pPr>
      <w:r>
        <w:rPr>
          <w:rFonts w:hint="eastAsia" w:ascii="楷体_GB2312" w:hAnsi="宋体" w:eastAsia="楷体_GB2312"/>
          <w:b/>
          <w:color w:val="000000"/>
          <w:sz w:val="28"/>
          <w:szCs w:val="28"/>
        </w:rPr>
        <w:t>学生活动管理</w:t>
      </w:r>
      <w:r>
        <w:rPr>
          <w:rFonts w:hint="eastAsia" w:ascii="楷体_GB2312" w:hAnsi="宋体" w:eastAsia="楷体_GB2312"/>
          <w:color w:val="000000"/>
          <w:sz w:val="28"/>
          <w:szCs w:val="28"/>
        </w:rPr>
        <w:t>是学生发展的平台，由少先队、体育、音乐、美术、健康等部门负责人组成“学生社团”，具体组织训练、排练、参赛等相关工作，学生工作部则发挥宣传、协调、外联等等相关提调工作，为学生素质的发展搭建平台。</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②强班主任队伍建设，进一步落实《班主任工作职责》，增强责任感和服务意识。坚持把指导学生“学会做人”放在首位，倡导科学、民主的管理方法，要重视过程管理与目标管理相结合，全面关心学生，促进学生素质的整体提高。宣传优秀班主任事迹，发挥优秀班主任的榜样示范作用，重视培养年轻班主任，通过培训学习、观摩交流等活动，学习管理班级、指导学生的方法，尽快走向成熟。</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③让“全员育人”的意识深入到每个教师的心中，使德育无处不在，使德育活动更加富有实效。要组织教师认真学习，使全体教师真正认识到德育工作是学校素质教育的重中之重，人人都要铭记自己是学校德育教育工作者的观念。我们不仅是在教学生知识和能力，更是在教学生做人，每个教师都应明白班级无小事，学校无小事，事事都关系到学生能否健康成长。</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④确立“以人为本”思想。努力构建“平等、民主、和谐、合作”的师生关系，要全面认识学生的学习主体地位，充分发挥学生的积极性、主动性，坚持激励和正面教育。利用学校评比栏、蒙娃荣誉栏、班级文化阵地、等多种渠道，让各方面有特长和有进步的学生，有展示的舞台。</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⑵加强养成教育，狠抓小学生日常行为规范的训练</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①养成教育是学校德育工作的基础，学校以文明礼仪规范教育为抓手，切实加强《小学生日常行为规范》《蒙小娃娃宣言》的宣传贯彻力度，从一二年级开始进行“日常行为规范课程”的实践，坚持不懈，直至形成学生自觉的习惯。</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②根据年级和学生特点，进一步强化管理中的学生主体意识和学生自我管理的意识及能力，充分发挥学生的主体作用，让学生自主组织活动、管理、评价，逐步使学生从“要我这样做”转变为“我应该这样做”。</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③加强对当家中队的管理指导，教育并督促队员对校园卫生、文明礼仪、课间秩序、路队纪律等方面的监控管理。每天对各班的卫生、文明礼仪、纪律、两操等情况进行督查检查，每周公布评比结果，促使全校形成班班争先的良好氛围。</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④充分发挥学校网站、班级网站的功能，开设文明礼仪、行为规范的宣传专栏，以生动活泼的形式，用身边的人和事教育学生，训练学生，促成学生养成良好的行为习惯。</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⑤养成教育融于德育活动中，结合德育课程、传统节日、纪念日开展丰富多彩的养成教育的系列活动。</w:t>
      </w:r>
    </w:p>
    <w:p>
      <w:pPr>
        <w:spacing w:line="520" w:lineRule="exact"/>
        <w:ind w:firstLine="560" w:firstLineChars="200"/>
        <w:rPr>
          <w:rFonts w:ascii="楷体_GB2312" w:hAnsi="宋体" w:eastAsia="楷体_GB2312"/>
          <w:color w:val="000000"/>
          <w:sz w:val="28"/>
          <w:szCs w:val="28"/>
        </w:rPr>
      </w:pPr>
      <w:r>
        <w:rPr>
          <w:rFonts w:hint="eastAsia" w:ascii="楷体_GB2312" w:hAnsi="宋体" w:eastAsia="楷体_GB2312"/>
          <w:color w:val="000000"/>
          <w:sz w:val="28"/>
          <w:szCs w:val="28"/>
        </w:rPr>
        <w:t>⑥加强校园文化、班级文化建设，如图书角、作品展示角、荣誉角等，营造良好的班级氛围，树立班级形象，争创特色班级，开展“特色联邦”班级评比活动。</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⑶</w:t>
      </w:r>
      <w:r>
        <w:rPr>
          <w:rFonts w:hint="eastAsia" w:ascii="楷体_GB2312" w:eastAsia="楷体_GB2312"/>
          <w:color w:val="000000"/>
          <w:sz w:val="28"/>
          <w:szCs w:val="28"/>
        </w:rPr>
        <w:t>实施和谐家校，整合教育资源，</w:t>
      </w:r>
      <w:r>
        <w:rPr>
          <w:rFonts w:hint="eastAsia" w:ascii="楷体_GB2312" w:eastAsia="楷体_GB2312" w:cs="华文新魏"/>
          <w:color w:val="000000"/>
          <w:sz w:val="28"/>
          <w:szCs w:val="28"/>
        </w:rPr>
        <w:t>和谐教育关系</w:t>
      </w:r>
    </w:p>
    <w:p>
      <w:pPr>
        <w:spacing w:line="520" w:lineRule="exact"/>
        <w:ind w:firstLine="435"/>
        <w:rPr>
          <w:rFonts w:ascii="楷体_GB2312" w:eastAsia="楷体_GB2312"/>
          <w:color w:val="000000"/>
          <w:sz w:val="28"/>
          <w:szCs w:val="28"/>
        </w:rPr>
      </w:pPr>
      <w:r>
        <w:rPr>
          <w:rFonts w:hint="eastAsia" w:ascii="楷体_GB2312" w:hAnsi="宋体" w:eastAsia="楷体_GB2312"/>
          <w:color w:val="000000"/>
          <w:sz w:val="28"/>
          <w:szCs w:val="28"/>
        </w:rPr>
        <w:t>学校高度重视家校合作与和谐，努力实现家校教育相长、实现家长资源优势向教育资源优势的不断转化，为孩子们创造宽松、愉快、支持、和谐的最佳教育环境。以“了解－满足－超越－引领”家长教育需求为理念，以家校间的“沟通－交流－合作－分享”为主题，以家长、孩子、教师、学校之间的“理解－信任－满意－互动—感动”为目标，促进家校和谐、亲子和谐，不断提高家校共育的品质、层次、幸福指数和成功指数。</w:t>
      </w:r>
    </w:p>
    <w:p>
      <w:pPr>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①遵循家校共育中的原则　</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教育目标的一致性原则</w:t>
      </w:r>
      <w:r>
        <w:rPr>
          <w:rFonts w:hint="eastAsia" w:ascii="楷体_GB2312" w:eastAsia="楷体_GB2312"/>
          <w:color w:val="000000"/>
          <w:sz w:val="28"/>
          <w:szCs w:val="28"/>
        </w:rPr>
        <w:t>,</w:t>
      </w:r>
      <w:r>
        <w:rPr>
          <w:rFonts w:hint="eastAsia" w:ascii="楷体_GB2312" w:hAnsi="宋体" w:eastAsia="楷体_GB2312"/>
          <w:color w:val="000000"/>
          <w:sz w:val="28"/>
          <w:szCs w:val="28"/>
        </w:rPr>
        <w:t>增进家校共育的合力效应</w:t>
      </w:r>
    </w:p>
    <w:p>
      <w:pPr>
        <w:spacing w:line="520" w:lineRule="exact"/>
        <w:rPr>
          <w:rFonts w:ascii="楷体_GB2312" w:eastAsia="楷体_GB2312"/>
          <w:color w:val="000000"/>
          <w:sz w:val="28"/>
          <w:szCs w:val="28"/>
        </w:rPr>
      </w:pPr>
      <w:r>
        <w:rPr>
          <w:rFonts w:hint="eastAsia" w:ascii="楷体_GB2312" w:hAnsi="宋体" w:eastAsia="楷体_GB2312"/>
          <w:color w:val="000000"/>
          <w:sz w:val="28"/>
          <w:szCs w:val="28"/>
        </w:rPr>
        <w:t>　  家校共育的互补性原则</w:t>
      </w:r>
      <w:r>
        <w:rPr>
          <w:rFonts w:hint="eastAsia" w:ascii="楷体_GB2312" w:eastAsia="楷体_GB2312"/>
          <w:color w:val="000000"/>
          <w:sz w:val="28"/>
          <w:szCs w:val="28"/>
        </w:rPr>
        <w:t>,</w:t>
      </w:r>
      <w:r>
        <w:rPr>
          <w:rFonts w:hint="eastAsia" w:ascii="楷体_GB2312" w:hAnsi="宋体" w:eastAsia="楷体_GB2312"/>
          <w:color w:val="000000"/>
          <w:sz w:val="28"/>
          <w:szCs w:val="28"/>
        </w:rPr>
        <w:t>强化家校共育的整体优势</w:t>
      </w:r>
    </w:p>
    <w:p>
      <w:pPr>
        <w:spacing w:line="520" w:lineRule="exact"/>
        <w:rPr>
          <w:rFonts w:ascii="楷体_GB2312" w:eastAsia="楷体_GB2312"/>
          <w:color w:val="000000"/>
          <w:sz w:val="28"/>
          <w:szCs w:val="28"/>
        </w:rPr>
      </w:pPr>
      <w:r>
        <w:rPr>
          <w:rFonts w:hint="eastAsia" w:ascii="楷体_GB2312" w:hAnsi="宋体" w:eastAsia="楷体_GB2312"/>
          <w:color w:val="000000"/>
          <w:sz w:val="28"/>
          <w:szCs w:val="28"/>
        </w:rPr>
        <w:t>　　通过教育的艺术性原则</w:t>
      </w:r>
      <w:r>
        <w:rPr>
          <w:rFonts w:hint="eastAsia" w:ascii="楷体_GB2312" w:eastAsia="楷体_GB2312"/>
          <w:color w:val="000000"/>
          <w:sz w:val="28"/>
          <w:szCs w:val="28"/>
        </w:rPr>
        <w:t>,</w:t>
      </w:r>
      <w:r>
        <w:rPr>
          <w:rFonts w:hint="eastAsia" w:ascii="楷体_GB2312" w:hAnsi="宋体" w:eastAsia="楷体_GB2312"/>
          <w:color w:val="000000"/>
          <w:sz w:val="28"/>
          <w:szCs w:val="28"/>
        </w:rPr>
        <w:t>提高家校共育的教育技巧</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②确立学生、家长、教师、学校和谐发展目标</w:t>
      </w:r>
    </w:p>
    <w:p>
      <w:pPr>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学生：身心健康、智慧激情、品格高尚、生动活泼、自由充分、个性和谐的发展。</w:t>
      </w:r>
    </w:p>
    <w:p>
      <w:pPr>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教师：师德水平、专业能力、团队精神、个性风格和谐发展。</w:t>
      </w:r>
    </w:p>
    <w:p>
      <w:pPr>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学校：教育质量、管理水平、办学能力、学校品牌学校文化的可持续和谐发展。</w:t>
      </w:r>
    </w:p>
    <w:p>
      <w:pPr>
        <w:spacing w:line="520" w:lineRule="exact"/>
        <w:ind w:firstLine="560" w:firstLineChars="200"/>
        <w:rPr>
          <w:rFonts w:ascii="楷体_GB2312" w:eastAsia="楷体_GB2312"/>
          <w:bCs/>
          <w:color w:val="000000"/>
          <w:sz w:val="28"/>
          <w:szCs w:val="28"/>
        </w:rPr>
      </w:pPr>
      <w:r>
        <w:rPr>
          <w:rFonts w:hint="eastAsia" w:ascii="楷体_GB2312" w:hAnsi="宋体" w:eastAsia="楷体_GB2312"/>
          <w:bCs/>
          <w:color w:val="000000"/>
          <w:sz w:val="28"/>
          <w:szCs w:val="28"/>
        </w:rPr>
        <w:t>家长：教育理念、教养方式、自身素质的不断优化。</w:t>
      </w:r>
    </w:p>
    <w:p>
      <w:pPr>
        <w:spacing w:line="520" w:lineRule="exact"/>
        <w:ind w:firstLine="557" w:firstLineChars="199"/>
        <w:rPr>
          <w:rFonts w:ascii="楷体_GB2312" w:eastAsia="楷体_GB2312"/>
          <w:bCs/>
          <w:color w:val="000000"/>
          <w:sz w:val="28"/>
          <w:szCs w:val="28"/>
        </w:rPr>
      </w:pPr>
      <w:r>
        <w:rPr>
          <w:rFonts w:hint="eastAsia" w:ascii="楷体_GB2312" w:hAnsi="宋体" w:eastAsia="楷体_GB2312"/>
          <w:bCs/>
          <w:color w:val="000000"/>
          <w:sz w:val="28"/>
          <w:szCs w:val="28"/>
        </w:rPr>
        <w:t>③完善“家校共育”的十大沟通平台，保证家校共育的实效</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bCs/>
          <w:color w:val="000000"/>
          <w:sz w:val="28"/>
          <w:szCs w:val="28"/>
        </w:rPr>
        <w:t>通过完善</w:t>
      </w:r>
      <w:r>
        <w:rPr>
          <w:rFonts w:hint="eastAsia" w:ascii="楷体_GB2312" w:hAnsi="宋体" w:eastAsia="楷体_GB2312"/>
          <w:color w:val="000000"/>
          <w:sz w:val="28"/>
          <w:szCs w:val="28"/>
        </w:rPr>
        <w:t>“家校共育”的十大沟通平台</w:t>
      </w:r>
      <w:r>
        <w:rPr>
          <w:rFonts w:hint="eastAsia" w:ascii="楷体_GB2312" w:hAnsi="宋体" w:eastAsia="楷体_GB2312"/>
          <w:bCs/>
          <w:color w:val="000000"/>
          <w:sz w:val="28"/>
          <w:szCs w:val="28"/>
        </w:rPr>
        <w:t>，让家长</w:t>
      </w:r>
      <w:r>
        <w:rPr>
          <w:rFonts w:hint="eastAsia" w:ascii="楷体_GB2312" w:hAnsi="宋体" w:eastAsia="楷体_GB2312"/>
          <w:color w:val="000000"/>
          <w:sz w:val="28"/>
          <w:szCs w:val="28"/>
        </w:rPr>
        <w:t>全面了解孩子在校情况，加强家校间的联系，整合教育资源，提升教育合力，建立畅通的信息桥梁。</w:t>
      </w:r>
      <w:r>
        <w:rPr>
          <w:rFonts w:hint="eastAsia" w:ascii="楷体_GB2312" w:hAnsi="宋体" w:eastAsia="楷体_GB2312"/>
          <w:caps/>
          <w:color w:val="000000"/>
          <w:sz w:val="28"/>
          <w:szCs w:val="28"/>
        </w:rPr>
        <w:t>进一步完善现有的“家校共育”体系，合理构建家委会结构，推进家校之间的进一步沟通和合作。</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④信息技术与“家校共育”的整合，提高教育效益</w:t>
      </w:r>
    </w:p>
    <w:p>
      <w:pPr>
        <w:spacing w:line="520" w:lineRule="exact"/>
        <w:ind w:firstLine="560" w:firstLineChars="200"/>
        <w:rPr>
          <w:rFonts w:ascii="楷体_GB2312" w:eastAsia="楷体_GB2312"/>
          <w:color w:val="000000"/>
          <w:sz w:val="28"/>
          <w:szCs w:val="28"/>
        </w:rPr>
      </w:pPr>
      <w:r>
        <w:rPr>
          <w:rFonts w:hint="eastAsia" w:ascii="楷体_GB2312" w:hAnsi="宋体" w:eastAsia="楷体_GB2312"/>
          <w:color w:val="000000"/>
          <w:sz w:val="28"/>
          <w:szCs w:val="28"/>
        </w:rPr>
        <w:t>关注家长的“知情权”，通过校园网、班级网站、APP等多种沟通平台，将学校的各项管理措施，教育理念公布于社会、家庭，让家长们了解学校的教育教学工作，做到学校教育工作公开、透明；关注家长的“建议权”，通过设立学校网站的“校长信箱”“发表评论”栏目和班级论坛为家长们充分提供提出建议的途径，并做到及时回复、及时处理，从而增强家长对学校教育的满意度。</w:t>
      </w:r>
    </w:p>
    <w:p>
      <w:pPr>
        <w:widowControl/>
        <w:spacing w:line="520" w:lineRule="exact"/>
        <w:ind w:firstLine="560" w:firstLineChars="200"/>
        <w:rPr>
          <w:rFonts w:ascii="楷体_GB2312" w:hAnsi="宋体" w:eastAsia="楷体_GB2312" w:cs="宋体"/>
          <w:color w:val="000000"/>
          <w:kern w:val="0"/>
          <w:sz w:val="28"/>
          <w:szCs w:val="28"/>
        </w:rPr>
      </w:pPr>
    </w:p>
    <w:p>
      <w:pPr>
        <w:spacing w:line="520" w:lineRule="exact"/>
        <w:ind w:firstLine="551" w:firstLineChars="196"/>
        <w:rPr>
          <w:rFonts w:ascii="楷体_GB2312" w:eastAsia="楷体_GB2312" w:hAnsiTheme="minorEastAsia"/>
          <w:b/>
          <w:sz w:val="28"/>
          <w:szCs w:val="28"/>
        </w:rPr>
      </w:pPr>
      <w:r>
        <w:rPr>
          <w:rFonts w:hint="eastAsia" w:ascii="楷体_GB2312" w:eastAsia="楷体_GB2312" w:hAnsiTheme="minorEastAsia"/>
          <w:b/>
          <w:sz w:val="28"/>
          <w:szCs w:val="28"/>
        </w:rPr>
        <w:t>三、加强文化交流，拓宽交流层面</w:t>
      </w:r>
    </w:p>
    <w:p>
      <w:pPr>
        <w:spacing w:line="520" w:lineRule="exact"/>
        <w:ind w:firstLine="555"/>
        <w:rPr>
          <w:rFonts w:ascii="楷体_GB2312" w:eastAsia="楷体_GB2312"/>
          <w:b/>
          <w:sz w:val="28"/>
          <w:szCs w:val="28"/>
        </w:rPr>
      </w:pPr>
      <w:r>
        <w:rPr>
          <w:rFonts w:hint="eastAsia" w:ascii="楷体_GB2312" w:eastAsia="楷体_GB2312"/>
          <w:b/>
          <w:sz w:val="28"/>
          <w:szCs w:val="28"/>
        </w:rPr>
        <w:t>工作目标：</w:t>
      </w:r>
    </w:p>
    <w:p>
      <w:pPr>
        <w:spacing w:line="520" w:lineRule="exact"/>
        <w:ind w:firstLine="555"/>
        <w:rPr>
          <w:rFonts w:ascii="楷体_GB2312" w:eastAsia="楷体_GB2312"/>
          <w:sz w:val="28"/>
          <w:szCs w:val="28"/>
        </w:rPr>
      </w:pPr>
      <w:r>
        <w:rPr>
          <w:rFonts w:hint="eastAsia" w:ascii="楷体_GB2312" w:eastAsia="楷体_GB2312"/>
          <w:sz w:val="28"/>
          <w:szCs w:val="28"/>
        </w:rPr>
        <w:t>学校的文化交流中心自成立以来积极践行“为每个孩子最大可能的发展负责”的办学理念，积极开展对外交流及特色文化教育工作，努力营造和谐、优雅的校园文化氛围，力争为每个孩子营造整洁、温馨的校园环境，为每个孩子搭建开阔的对外交流平台。</w:t>
      </w:r>
    </w:p>
    <w:p>
      <w:pPr>
        <w:spacing w:line="520" w:lineRule="exact"/>
        <w:ind w:firstLine="562" w:firstLineChars="200"/>
        <w:rPr>
          <w:rFonts w:ascii="楷体_GB2312" w:eastAsia="楷体_GB2312"/>
          <w:b/>
          <w:sz w:val="28"/>
          <w:szCs w:val="28"/>
        </w:rPr>
      </w:pPr>
      <w:r>
        <w:rPr>
          <w:rFonts w:hint="eastAsia" w:ascii="楷体_GB2312" w:eastAsia="楷体_GB2312"/>
          <w:b/>
          <w:sz w:val="28"/>
          <w:szCs w:val="28"/>
        </w:rPr>
        <w:t>途径与方法：</w:t>
      </w:r>
    </w:p>
    <w:p>
      <w:pPr>
        <w:spacing w:line="520" w:lineRule="exact"/>
        <w:ind w:firstLine="560" w:firstLineChars="200"/>
        <w:rPr>
          <w:rFonts w:ascii="楷体_GB2312" w:eastAsia="楷体_GB2312"/>
          <w:sz w:val="28"/>
          <w:szCs w:val="28"/>
        </w:rPr>
      </w:pPr>
      <w:r>
        <w:rPr>
          <w:rFonts w:hint="eastAsia" w:ascii="楷体_GB2312" w:eastAsia="楷体_GB2312"/>
          <w:sz w:val="28"/>
          <w:szCs w:val="28"/>
        </w:rPr>
        <w:t>加强培训学习，为</w:t>
      </w:r>
      <w:r>
        <w:rPr>
          <w:rFonts w:hint="eastAsia" w:ascii="楷体_GB2312" w:hAnsi="宋体" w:eastAsia="楷体_GB2312"/>
          <w:sz w:val="28"/>
          <w:szCs w:val="28"/>
        </w:rPr>
        <w:t>加快学校教育国际化进程提供师资保障。</w:t>
      </w:r>
    </w:p>
    <w:p>
      <w:pPr>
        <w:spacing w:line="520" w:lineRule="exact"/>
        <w:ind w:firstLine="560" w:firstLineChars="200"/>
        <w:rPr>
          <w:rFonts w:ascii="楷体_GB2312" w:eastAsia="楷体_GB2312"/>
          <w:sz w:val="28"/>
          <w:szCs w:val="28"/>
        </w:rPr>
      </w:pPr>
      <w:r>
        <w:rPr>
          <w:rFonts w:hint="eastAsia" w:ascii="楷体_GB2312" w:eastAsia="楷体_GB2312" w:hAnsiTheme="minorEastAsia"/>
          <w:sz w:val="28"/>
          <w:szCs w:val="28"/>
        </w:rPr>
        <w:t>重塑</w:t>
      </w:r>
      <w:r>
        <w:rPr>
          <w:rFonts w:hint="eastAsia" w:ascii="楷体_GB2312" w:eastAsia="楷体_GB2312"/>
          <w:sz w:val="28"/>
          <w:szCs w:val="28"/>
        </w:rPr>
        <w:t>班级文化。班级是每个孩子生活学习的场所，文化交流中心旨在为每个孩子营造积极的学习氛围，力争打造一班一品，让孩子在班级文化建设的过程中，理解什么是班级文化，体会班级文化，并通过参与班级文化建设，进一步融入班级。</w:t>
      </w:r>
    </w:p>
    <w:p>
      <w:pPr>
        <w:spacing w:line="520" w:lineRule="exact"/>
        <w:ind w:firstLine="560" w:firstLineChars="200"/>
        <w:rPr>
          <w:rFonts w:ascii="楷体_GB2312" w:eastAsia="楷体_GB2312"/>
          <w:sz w:val="28"/>
          <w:szCs w:val="28"/>
        </w:rPr>
      </w:pPr>
      <w:r>
        <w:rPr>
          <w:rFonts w:hint="eastAsia" w:ascii="楷体_GB2312" w:eastAsia="楷体_GB2312" w:hAnsiTheme="minorEastAsia"/>
          <w:sz w:val="28"/>
          <w:szCs w:val="28"/>
        </w:rPr>
        <w:t>拓宽</w:t>
      </w:r>
      <w:r>
        <w:rPr>
          <w:rFonts w:hint="eastAsia" w:ascii="楷体_GB2312" w:eastAsia="楷体_GB2312"/>
          <w:sz w:val="28"/>
          <w:szCs w:val="28"/>
        </w:rPr>
        <w:t>交流层面，在践行学校的办学理念同时，以宽广的胸怀把学校的教育理念、管理经验、活动经验等与来自其他市区和国外的教育同仁进行交流。</w:t>
      </w:r>
      <w:r>
        <w:rPr>
          <w:rFonts w:hint="eastAsia" w:ascii="楷体_GB2312" w:eastAsia="楷体_GB2312"/>
          <w:b/>
          <w:sz w:val="28"/>
          <w:szCs w:val="28"/>
        </w:rPr>
        <w:t xml:space="preserve"> </w:t>
      </w:r>
    </w:p>
    <w:p>
      <w:pPr>
        <w:spacing w:line="520" w:lineRule="exact"/>
        <w:ind w:firstLine="551" w:firstLineChars="196"/>
        <w:rPr>
          <w:rFonts w:ascii="楷体_GB2312" w:eastAsia="楷体_GB2312" w:hAnsiTheme="minorEastAsia"/>
          <w:b/>
          <w:color w:val="000000"/>
          <w:sz w:val="28"/>
          <w:szCs w:val="28"/>
        </w:rPr>
      </w:pPr>
      <w:r>
        <w:rPr>
          <w:rFonts w:hint="eastAsia" w:ascii="楷体_GB2312" w:eastAsia="楷体_GB2312" w:hAnsiTheme="minorEastAsia"/>
          <w:b/>
          <w:color w:val="000000"/>
          <w:sz w:val="28"/>
          <w:szCs w:val="28"/>
        </w:rPr>
        <w:t>四、实施和谐管理，完善教育服务</w:t>
      </w:r>
    </w:p>
    <w:p>
      <w:pPr>
        <w:spacing w:line="520" w:lineRule="exact"/>
        <w:ind w:firstLine="551" w:firstLineChars="196"/>
        <w:rPr>
          <w:rFonts w:ascii="楷体_GB2312" w:eastAsia="楷体_GB2312" w:hAnsiTheme="minorEastAsia"/>
          <w:b/>
          <w:sz w:val="28"/>
          <w:szCs w:val="28"/>
        </w:rPr>
      </w:pPr>
      <w:r>
        <w:rPr>
          <w:rFonts w:hint="eastAsia" w:ascii="楷体_GB2312" w:eastAsia="楷体_GB2312" w:hAnsiTheme="minorEastAsia"/>
          <w:b/>
          <w:sz w:val="28"/>
          <w:szCs w:val="28"/>
        </w:rPr>
        <w:t>1.管理工作重规范</w:t>
      </w:r>
    </w:p>
    <w:p>
      <w:pPr>
        <w:ind w:firstLine="555"/>
        <w:rPr>
          <w:rFonts w:ascii="楷体_GB2312" w:hAnsi="楷体" w:eastAsia="楷体_GB2312"/>
          <w:sz w:val="28"/>
          <w:szCs w:val="28"/>
        </w:rPr>
      </w:pPr>
      <w:r>
        <w:rPr>
          <w:rFonts w:hint="eastAsia" w:ascii="楷体_GB2312" w:hAnsi="楷体" w:eastAsia="楷体_GB2312"/>
          <w:b/>
          <w:sz w:val="28"/>
          <w:szCs w:val="28"/>
        </w:rPr>
        <w:t>⑴调整结构，明确职能。</w:t>
      </w:r>
      <w:r>
        <w:rPr>
          <w:rFonts w:hint="eastAsia" w:ascii="楷体_GB2312" w:hAnsi="楷体" w:eastAsia="楷体_GB2312"/>
          <w:sz w:val="28"/>
          <w:szCs w:val="28"/>
        </w:rPr>
        <w:t>建校之初的三年，我们通过构建课程文化，以提升学校行政的课程领导力</w:t>
      </w:r>
      <w:r>
        <w:rPr>
          <w:rFonts w:hint="eastAsia" w:ascii="楷体_GB2312" w:eastAsia="楷体_GB2312"/>
          <w:sz w:val="28"/>
          <w:szCs w:val="28"/>
        </w:rPr>
        <w:t>，提升全体教师的</w:t>
      </w:r>
      <w:r>
        <w:rPr>
          <w:rFonts w:hint="eastAsia" w:ascii="楷体_GB2312" w:eastAsia="楷体_GB2312"/>
          <w:bCs/>
          <w:sz w:val="28"/>
          <w:szCs w:val="28"/>
        </w:rPr>
        <w:t>课程执行力</w:t>
      </w:r>
      <w:r>
        <w:rPr>
          <w:rFonts w:hint="eastAsia" w:ascii="楷体_GB2312" w:eastAsia="楷体_GB2312"/>
          <w:sz w:val="28"/>
          <w:szCs w:val="28"/>
        </w:rPr>
        <w:t>，从而促进学校教育的内涵深入发展。为此，我们</w:t>
      </w:r>
      <w:r>
        <w:rPr>
          <w:rFonts w:hint="eastAsia" w:ascii="楷体_GB2312" w:hAnsi="楷体" w:eastAsia="楷体_GB2312"/>
          <w:sz w:val="28"/>
          <w:szCs w:val="28"/>
        </w:rPr>
        <w:t>以课程为抓手，以课程统领各项工作的开展。现在课程文化已深入人心，</w:t>
      </w:r>
      <w:r>
        <w:rPr>
          <w:rFonts w:hint="eastAsia" w:ascii="楷体_GB2312" w:eastAsia="楷体_GB2312"/>
          <w:sz w:val="28"/>
          <w:szCs w:val="28"/>
        </w:rPr>
        <w:t>无人无事无时不课程。考虑到学校现阶段发展的需要，学校的行政管理结构优化调整为：</w:t>
      </w:r>
      <w:r>
        <w:rPr>
          <w:rFonts w:hint="eastAsia" w:ascii="楷体_GB2312" w:hAnsi="楷体" w:eastAsia="楷体_GB2312"/>
          <w:sz w:val="28"/>
          <w:szCs w:val="28"/>
        </w:rPr>
        <w:t xml:space="preserve"> </w:t>
      </w:r>
      <w:r>
        <w:rPr>
          <w:rFonts w:ascii="楷体_GB2312" w:hAnsi="楷体" w:eastAsia="楷体_GB2312"/>
          <w:sz w:val="28"/>
          <w:szCs w:val="28"/>
        </w:rPr>
        <mc:AlternateContent>
          <mc:Choice Requires="wpg">
            <w:drawing>
              <wp:inline distT="0" distB="0" distL="0" distR="0">
                <wp:extent cx="5053330" cy="3371850"/>
                <wp:effectExtent l="0" t="0" r="0" b="19050"/>
                <wp:docPr id="424963" name="Group 3"/>
                <wp:cNvGraphicFramePr/>
                <a:graphic xmlns:a="http://schemas.openxmlformats.org/drawingml/2006/main">
                  <a:graphicData uri="http://schemas.microsoft.com/office/word/2010/wordprocessingGroup">
                    <wpg:wgp>
                      <wpg:cNvGrpSpPr/>
                      <wpg:grpSpPr>
                        <a:xfrm>
                          <a:off x="0" y="0"/>
                          <a:ext cx="5053454" cy="3371850"/>
                          <a:chOff x="-2" y="3429000"/>
                          <a:chExt cx="9111594" cy="2210086"/>
                        </a:xfrm>
                      </wpg:grpSpPr>
                      <wps:wsp>
                        <wps:cNvPr id="19" name="Rectangle 4"/>
                        <wps:cNvSpPr>
                          <a:spLocks noChangeArrowheads="1"/>
                        </wps:cNvSpPr>
                        <wps:spPr bwMode="auto">
                          <a:xfrm>
                            <a:off x="316925" y="4646544"/>
                            <a:ext cx="8715435" cy="922511"/>
                          </a:xfrm>
                          <a:prstGeom prst="rect">
                            <a:avLst/>
                          </a:prstGeom>
                          <a:solidFill>
                            <a:srgbClr val="800000"/>
                          </a:solidFill>
                          <a:ln w="9525">
                            <a:noFill/>
                            <a:miter lim="800000"/>
                          </a:ln>
                        </wps:spPr>
                        <wps:bodyPr/>
                      </wps:wsp>
                      <wps:wsp>
                        <wps:cNvPr id="20" name="Rectangle 5"/>
                        <wps:cNvSpPr>
                          <a:spLocks noChangeArrowheads="1"/>
                        </wps:cNvSpPr>
                        <wps:spPr bwMode="auto">
                          <a:xfrm>
                            <a:off x="-2" y="4565374"/>
                            <a:ext cx="9050689" cy="1036253"/>
                          </a:xfrm>
                          <a:prstGeom prst="rect">
                            <a:avLst/>
                          </a:prstGeom>
                          <a:noFill/>
                          <a:ln w="9525">
                            <a:noFill/>
                            <a:miter lim="800000"/>
                          </a:ln>
                        </wps:spPr>
                        <wps:txbx>
                          <w:txbxContent>
                            <w:p>
                              <w:pPr>
                                <w:pStyle w:val="8"/>
                                <w:kinsoku w:val="0"/>
                                <w:overflowPunct w:val="0"/>
                                <w:spacing w:before="0" w:beforeAutospacing="0" w:after="185" w:afterAutospacing="0" w:line="216" w:lineRule="auto"/>
                                <w:jc w:val="center"/>
                                <w:textAlignment w:val="baseline"/>
                                <w:rPr>
                                  <w:rFonts w:ascii="微软雅黑" w:hAnsi="微软雅黑" w:eastAsia="微软雅黑" w:cstheme="minorBidi"/>
                                  <w:b/>
                                  <w:bCs/>
                                  <w:color w:val="FFFFFF" w:themeColor="background1"/>
                                  <w:kern w:val="24"/>
                                  <w:sz w:val="32"/>
                                  <w:szCs w:val="40"/>
                                  <w14:textFill>
                                    <w14:solidFill>
                                      <w14:schemeClr w14:val="bg1"/>
                                    </w14:solidFill>
                                  </w14:textFill>
                                </w:rPr>
                              </w:pPr>
                              <w:r>
                                <w:rPr>
                                  <w:rFonts w:hint="eastAsia" w:ascii="微软雅黑" w:hAnsi="微软雅黑" w:eastAsia="微软雅黑" w:cstheme="minorBidi"/>
                                  <w:b/>
                                  <w:bCs/>
                                  <w:color w:val="FFFFFF"/>
                                  <w:kern w:val="24"/>
                                  <w:sz w:val="44"/>
                                  <w:szCs w:val="44"/>
                                </w:rPr>
                                <w:t xml:space="preserve"> </w:t>
                              </w:r>
                              <w:r>
                                <w:rPr>
                                  <w:rFonts w:ascii="微软雅黑" w:hAnsi="微软雅黑" w:eastAsia="微软雅黑" w:cstheme="minorBidi"/>
                                  <w:b/>
                                  <w:bCs/>
                                  <w:color w:val="FFFFFF"/>
                                  <w:kern w:val="24"/>
                                  <w:sz w:val="44"/>
                                  <w:szCs w:val="44"/>
                                </w:rPr>
                                <w:t xml:space="preserve">      </w:t>
                              </w:r>
                              <w:r>
                                <w:rPr>
                                  <w:rFonts w:hint="eastAsia" w:ascii="微软雅黑" w:hAnsi="微软雅黑" w:eastAsia="微软雅黑" w:cstheme="minorBidi"/>
                                  <w:b/>
                                  <w:bCs/>
                                  <w:color w:val="FFFFFF" w:themeColor="background1"/>
                                  <w:kern w:val="24"/>
                                  <w:sz w:val="32"/>
                                  <w:szCs w:val="40"/>
                                  <w14:textFill>
                                    <w14:solidFill>
                                      <w14:schemeClr w14:val="bg1"/>
                                    </w14:solidFill>
                                  </w14:textFill>
                                </w:rPr>
                                <w:t>教师发展中心   学生家长发展中心学</w:t>
                              </w:r>
                            </w:p>
                            <w:p>
                              <w:pPr>
                                <w:pStyle w:val="8"/>
                                <w:kinsoku w:val="0"/>
                                <w:overflowPunct w:val="0"/>
                                <w:spacing w:before="0" w:beforeAutospacing="0" w:after="185" w:afterAutospacing="0" w:line="216" w:lineRule="auto"/>
                                <w:jc w:val="center"/>
                                <w:textAlignment w:val="baseline"/>
                              </w:pPr>
                              <w:r>
                                <w:rPr>
                                  <w:rFonts w:hint="eastAsia" w:ascii="微软雅黑" w:hAnsi="微软雅黑" w:eastAsia="微软雅黑" w:cstheme="minorBidi"/>
                                  <w:b/>
                                  <w:bCs/>
                                  <w:color w:val="FFFFFF" w:themeColor="background1"/>
                                  <w:kern w:val="24"/>
                                  <w:sz w:val="32"/>
                                  <w:szCs w:val="40"/>
                                  <w14:textFill>
                                    <w14:solidFill>
                                      <w14:schemeClr w14:val="bg1"/>
                                    </w14:solidFill>
                                  </w14:textFill>
                                </w:rPr>
                                <w:t>校服务中心  文化交流中心</w:t>
                              </w:r>
                              <w:r>
                                <w:rPr>
                                  <w:rFonts w:hint="eastAsia" w:ascii="微软雅黑" w:hAnsi="微软雅黑" w:eastAsia="微软雅黑" w:cstheme="minorBidi"/>
                                  <w:b/>
                                  <w:bCs/>
                                  <w:color w:val="FFFFFF" w:themeColor="background1"/>
                                  <w:kern w:val="24"/>
                                  <w:sz w:val="40"/>
                                  <w:szCs w:val="40"/>
                                  <w14:textFill>
                                    <w14:solidFill>
                                      <w14:schemeClr w14:val="bg1"/>
                                    </w14:solidFill>
                                  </w14:textFill>
                                </w:rPr>
                                <w:t xml:space="preserve">   </w:t>
                              </w:r>
                            </w:p>
                            <w:p/>
                          </w:txbxContent>
                        </wps:txbx>
                        <wps:bodyPr lIns="156464" tIns="156464" rIns="156464" bIns="156464" anchor="ctr"/>
                      </wps:wsp>
                      <wps:wsp>
                        <wps:cNvPr id="21" name="Rectangle 6"/>
                        <wps:cNvSpPr>
                          <a:spLocks noChangeArrowheads="1"/>
                        </wps:cNvSpPr>
                        <wps:spPr bwMode="auto">
                          <a:xfrm>
                            <a:off x="316925" y="5214731"/>
                            <a:ext cx="8715435" cy="424355"/>
                          </a:xfrm>
                          <a:prstGeom prst="rect">
                            <a:avLst/>
                          </a:prstGeom>
                          <a:solidFill>
                            <a:srgbClr val="CCCCD9">
                              <a:alpha val="89018"/>
                            </a:srgbClr>
                          </a:solidFill>
                          <a:ln w="9525">
                            <a:solidFill>
                              <a:srgbClr val="CCCCD9">
                                <a:alpha val="81175"/>
                              </a:srgbClr>
                            </a:solidFill>
                            <a:miter lim="800000"/>
                          </a:ln>
                        </wps:spPr>
                        <wps:bodyPr/>
                      </wps:wsp>
                      <wps:wsp>
                        <wps:cNvPr id="22" name="Rectangle 7"/>
                        <wps:cNvSpPr>
                          <a:spLocks noChangeArrowheads="1"/>
                        </wps:cNvSpPr>
                        <wps:spPr bwMode="auto">
                          <a:xfrm>
                            <a:off x="396156" y="5196223"/>
                            <a:ext cx="8715436" cy="424355"/>
                          </a:xfrm>
                          <a:prstGeom prst="rect">
                            <a:avLst/>
                          </a:prstGeom>
                          <a:noFill/>
                          <a:ln w="9525">
                            <a:noFill/>
                            <a:miter lim="800000"/>
                          </a:ln>
                        </wps:spPr>
                        <wps:txbx>
                          <w:txbxContent>
                            <w:p>
                              <w:pPr>
                                <w:pStyle w:val="8"/>
                                <w:kinsoku w:val="0"/>
                                <w:overflowPunct w:val="0"/>
                                <w:spacing w:before="0" w:beforeAutospacing="0" w:after="151" w:afterAutospacing="0" w:line="216" w:lineRule="auto"/>
                                <w:jc w:val="center"/>
                                <w:textAlignment w:val="baseline"/>
                              </w:pPr>
                              <w:r>
                                <w:rPr>
                                  <w:rFonts w:hint="eastAsia" w:ascii="微软雅黑" w:hAnsi="微软雅黑" w:eastAsia="微软雅黑" w:cstheme="minorBidi"/>
                                  <w:color w:val="000000"/>
                                  <w:kern w:val="24"/>
                                </w:rPr>
                                <w:t>实施途径</w:t>
                              </w:r>
                            </w:p>
                          </w:txbxContent>
                        </wps:txbx>
                        <wps:bodyPr lIns="170688" tIns="30480" rIns="170688" bIns="30480" anchor="ctr"/>
                      </wps:wsp>
                      <wps:wsp>
                        <wps:cNvPr id="23" name="Rectangle 9"/>
                        <wps:cNvSpPr>
                          <a:spLocks noChangeArrowheads="1"/>
                        </wps:cNvSpPr>
                        <wps:spPr bwMode="auto">
                          <a:xfrm>
                            <a:off x="316925" y="3510169"/>
                            <a:ext cx="8715435" cy="498006"/>
                          </a:xfrm>
                          <a:prstGeom prst="rect">
                            <a:avLst/>
                          </a:prstGeom>
                          <a:noFill/>
                          <a:ln w="9525">
                            <a:noFill/>
                            <a:miter lim="800000"/>
                          </a:ln>
                        </wps:spPr>
                        <wps:bodyPr lIns="170688" tIns="170688" rIns="170688" bIns="170688" anchor="ctr"/>
                      </wps:wsp>
                      <wps:wsp>
                        <wps:cNvPr id="24" name="Rectangle 11"/>
                        <wps:cNvSpPr>
                          <a:spLocks noChangeArrowheads="1"/>
                        </wps:cNvSpPr>
                        <wps:spPr bwMode="auto">
                          <a:xfrm>
                            <a:off x="396156" y="3790429"/>
                            <a:ext cx="8715436" cy="424227"/>
                          </a:xfrm>
                          <a:prstGeom prst="rect">
                            <a:avLst/>
                          </a:prstGeom>
                          <a:noFill/>
                          <a:ln w="9525">
                            <a:noFill/>
                            <a:miter lim="800000"/>
                          </a:ln>
                        </wps:spPr>
                        <wps:bodyPr lIns="170688" tIns="30480" rIns="170688" bIns="30480" anchor="ctr"/>
                      </wps:wsp>
                      <wps:wsp>
                        <wps:cNvPr id="25" name="AutoShape 12"/>
                        <wps:cNvSpPr>
                          <a:spLocks noChangeArrowheads="1"/>
                        </wps:cNvSpPr>
                        <wps:spPr bwMode="auto">
                          <a:xfrm rot="10800000">
                            <a:off x="316889" y="3429000"/>
                            <a:ext cx="8715470" cy="1418823"/>
                          </a:xfrm>
                          <a:prstGeom prst="upArrowCallout">
                            <a:avLst>
                              <a:gd name="adj1" fmla="val 25026"/>
                              <a:gd name="adj2" fmla="val 24997"/>
                              <a:gd name="adj3" fmla="val 25000"/>
                              <a:gd name="adj4" fmla="val 64977"/>
                            </a:avLst>
                          </a:prstGeom>
                          <a:solidFill>
                            <a:srgbClr val="800000"/>
                          </a:solidFill>
                          <a:ln w="9525">
                            <a:noFill/>
                            <a:miter lim="800000"/>
                          </a:ln>
                        </wps:spPr>
                        <wps:bodyPr/>
                      </wps:wsp>
                      <wps:wsp>
                        <wps:cNvPr id="26" name="Rectangle 13"/>
                        <wps:cNvSpPr>
                          <a:spLocks noChangeArrowheads="1"/>
                        </wps:cNvSpPr>
                        <wps:spPr bwMode="auto">
                          <a:xfrm>
                            <a:off x="396156" y="3510170"/>
                            <a:ext cx="8715435" cy="498006"/>
                          </a:xfrm>
                          <a:prstGeom prst="rect">
                            <a:avLst/>
                          </a:prstGeom>
                          <a:noFill/>
                          <a:ln w="9525">
                            <a:noFill/>
                            <a:miter lim="800000"/>
                          </a:ln>
                        </wps:spPr>
                        <wps:txbx>
                          <w:txbxContent>
                            <w:p>
                              <w:pPr>
                                <w:pStyle w:val="8"/>
                                <w:kinsoku w:val="0"/>
                                <w:overflowPunct w:val="0"/>
                                <w:spacing w:before="0" w:beforeAutospacing="0" w:after="168" w:afterAutospacing="0" w:line="216" w:lineRule="auto"/>
                                <w:jc w:val="center"/>
                                <w:textAlignment w:val="baseline"/>
                              </w:pPr>
                              <w:r>
                                <w:rPr>
                                  <w:rFonts w:hint="eastAsia" w:ascii="微软雅黑" w:hAnsi="微软雅黑" w:eastAsia="微软雅黑" w:cstheme="minorBidi"/>
                                  <w:b/>
                                  <w:bCs/>
                                  <w:color w:val="FFFFFF" w:themeColor="background1"/>
                                  <w:kern w:val="24"/>
                                  <w:sz w:val="40"/>
                                  <w:szCs w:val="40"/>
                                  <w14:textFill>
                                    <w14:solidFill>
                                      <w14:schemeClr w14:val="bg1"/>
                                    </w14:solidFill>
                                  </w14:textFill>
                                </w:rPr>
                                <w:t>校  长</w:t>
                              </w:r>
                            </w:p>
                          </w:txbxContent>
                        </wps:txbx>
                        <wps:bodyPr lIns="170688" tIns="170688" rIns="170688" bIns="170688" anchor="ctr"/>
                      </wps:wsp>
                      <wps:wsp>
                        <wps:cNvPr id="27" name="Rectangle 14"/>
                        <wps:cNvSpPr>
                          <a:spLocks noChangeArrowheads="1"/>
                        </wps:cNvSpPr>
                        <wps:spPr bwMode="auto">
                          <a:xfrm>
                            <a:off x="316925" y="3997187"/>
                            <a:ext cx="8715435" cy="324678"/>
                          </a:xfrm>
                          <a:prstGeom prst="rect">
                            <a:avLst/>
                          </a:prstGeom>
                          <a:solidFill>
                            <a:srgbClr val="CCCCD9">
                              <a:alpha val="89018"/>
                            </a:srgbClr>
                          </a:solidFill>
                          <a:ln w="9525">
                            <a:solidFill>
                              <a:srgbClr val="CCCCD9">
                                <a:alpha val="81175"/>
                              </a:srgbClr>
                            </a:solidFill>
                            <a:miter lim="800000"/>
                          </a:ln>
                        </wps:spPr>
                        <wps:bodyPr/>
                      </wps:wsp>
                      <wps:wsp>
                        <wps:cNvPr id="28" name="Rectangle 15"/>
                        <wps:cNvSpPr>
                          <a:spLocks noChangeArrowheads="1"/>
                        </wps:cNvSpPr>
                        <wps:spPr bwMode="auto">
                          <a:xfrm>
                            <a:off x="316925" y="3834847"/>
                            <a:ext cx="8715435" cy="613529"/>
                          </a:xfrm>
                          <a:prstGeom prst="rect">
                            <a:avLst/>
                          </a:prstGeom>
                          <a:noFill/>
                          <a:ln w="9525">
                            <a:noFill/>
                            <a:miter lim="800000"/>
                          </a:ln>
                        </wps:spPr>
                        <wps:txbx>
                          <w:txbxContent>
                            <w:p>
                              <w:pPr>
                                <w:pStyle w:val="8"/>
                                <w:kinsoku w:val="0"/>
                                <w:overflowPunct w:val="0"/>
                                <w:spacing w:before="0" w:beforeAutospacing="0" w:after="151" w:afterAutospacing="0" w:line="216" w:lineRule="auto"/>
                                <w:jc w:val="center"/>
                                <w:textAlignment w:val="baseline"/>
                              </w:pPr>
                              <w:r>
                                <w:rPr>
                                  <w:rFonts w:hint="eastAsia" w:ascii="微软雅黑" w:hAnsi="微软雅黑" w:eastAsia="微软雅黑" w:cstheme="minorBidi"/>
                                  <w:color w:val="000000"/>
                                  <w:kern w:val="24"/>
                                </w:rPr>
                                <w:t xml:space="preserve">  办学理念</w:t>
                              </w:r>
                            </w:p>
                          </w:txbxContent>
                        </wps:txbx>
                        <wps:bodyPr lIns="170688" tIns="30480" rIns="170688" bIns="30480" anchor="ctr"/>
                      </wps:wsp>
                    </wpg:wgp>
                  </a:graphicData>
                </a:graphic>
              </wp:inline>
            </w:drawing>
          </mc:Choice>
          <mc:Fallback>
            <w:pict>
              <v:group id="Group 3" o:spid="_x0000_s1026" o:spt="203" style="height:265.5pt;width:397.9pt;" coordorigin="-2,3429000" coordsize="9111594,2210086" o:gfxdata="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Ey7BSLWAAAABQEAAA8AAAAAAAAAAQAgAAAAIgAAAGRycy9k&#10;b3ducmV2LnhtbFBLAQIUABQAAAAIAIdO4kBdqvVhdwQAAPkXAAAOAAAAAAAAAAEAIAAAACUBAABk&#10;cnMvZTJvRG9jLnhtbFBLBQYAAAAABgAGAFkBAAAOCAAAAAA=&#10;">
                <o:lock v:ext="edit" aspectratio="f"/>
                <v:rect id="Rectangle 4" o:spid="_x0000_s1026" o:spt="1" style="position:absolute;left:316925;top:4646544;height:922511;width:8715435;" fillcolor="#800000" filled="t" stroked="f" coordsize="21600,21600" o:gfxdata="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xO7LugAAANsA&#10;AAAPAAAAAAAAAAEAIAAAACIAAABkcnMvZG93bnJldi54bWxQSwECFAAUAAAACACHTuJAMy8FnjsA&#10;AAA5AAAAEAAAAAAAAAABACAAAAAJAQAAZHJzL3NoYXBleG1sLnhtbFBLBQYAAAAABgAGAFsBAACz&#10;AwAAAAA=&#10;">
                  <v:fill on="t" focussize="0,0"/>
                  <v:stroke on="f" miterlimit="8" joinstyle="miter"/>
                  <v:imagedata o:title=""/>
                  <o:lock v:ext="edit" aspectratio="f"/>
                </v:rect>
                <v:rect id="Rectangle 5" o:spid="_x0000_s1026" o:spt="1" style="position:absolute;left:-2;top:4565374;height:1036253;width:9050689;v-text-anchor:middle;" filled="f" stroked="f" coordsize="21600,21600" o:gfxdata="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LcJxUC2AAAA2wAAAA8A&#10;AAAAAAAAAQAgAAAAIgAAAGRycy9kb3ducmV2LnhtbFBLAQIUABQAAAAIAIdO4kAzLwWeOwAAADkA&#10;AAAQAAAAAAAAAAEAIAAAAAUBAABkcnMvc2hhcGV4bWwueG1sUEsFBgAAAAAGAAYAWwEAAK8DAAAA&#10;AA==&#10;">
                  <v:fill on="f" focussize="0,0"/>
                  <v:stroke on="f" miterlimit="8" joinstyle="miter"/>
                  <v:imagedata o:title=""/>
                  <o:lock v:ext="edit" aspectratio="f"/>
                  <v:textbox inset="12.32pt,12.32pt,12.32pt,12.32pt">
                    <w:txbxContent>
                      <w:p>
                        <w:pPr>
                          <w:pStyle w:val="8"/>
                          <w:kinsoku w:val="0"/>
                          <w:overflowPunct w:val="0"/>
                          <w:spacing w:before="0" w:beforeAutospacing="0" w:after="185" w:afterAutospacing="0" w:line="216" w:lineRule="auto"/>
                          <w:jc w:val="center"/>
                          <w:textAlignment w:val="baseline"/>
                          <w:rPr>
                            <w:rFonts w:ascii="微软雅黑" w:hAnsi="微软雅黑" w:eastAsia="微软雅黑" w:cstheme="minorBidi"/>
                            <w:b/>
                            <w:bCs/>
                            <w:color w:val="FFFFFF" w:themeColor="background1"/>
                            <w:kern w:val="24"/>
                            <w:sz w:val="32"/>
                            <w:szCs w:val="40"/>
                            <w14:textFill>
                              <w14:solidFill>
                                <w14:schemeClr w14:val="bg1"/>
                              </w14:solidFill>
                            </w14:textFill>
                          </w:rPr>
                        </w:pPr>
                        <w:r>
                          <w:rPr>
                            <w:rFonts w:hint="eastAsia" w:ascii="微软雅黑" w:hAnsi="微软雅黑" w:eastAsia="微软雅黑" w:cstheme="minorBidi"/>
                            <w:b/>
                            <w:bCs/>
                            <w:color w:val="FFFFFF"/>
                            <w:kern w:val="24"/>
                            <w:sz w:val="44"/>
                            <w:szCs w:val="44"/>
                          </w:rPr>
                          <w:t xml:space="preserve"> </w:t>
                        </w:r>
                        <w:r>
                          <w:rPr>
                            <w:rFonts w:ascii="微软雅黑" w:hAnsi="微软雅黑" w:eastAsia="微软雅黑" w:cstheme="minorBidi"/>
                            <w:b/>
                            <w:bCs/>
                            <w:color w:val="FFFFFF"/>
                            <w:kern w:val="24"/>
                            <w:sz w:val="44"/>
                            <w:szCs w:val="44"/>
                          </w:rPr>
                          <w:t xml:space="preserve">      </w:t>
                        </w:r>
                        <w:r>
                          <w:rPr>
                            <w:rFonts w:hint="eastAsia" w:ascii="微软雅黑" w:hAnsi="微软雅黑" w:eastAsia="微软雅黑" w:cstheme="minorBidi"/>
                            <w:b/>
                            <w:bCs/>
                            <w:color w:val="FFFFFF" w:themeColor="background1"/>
                            <w:kern w:val="24"/>
                            <w:sz w:val="32"/>
                            <w:szCs w:val="40"/>
                            <w14:textFill>
                              <w14:solidFill>
                                <w14:schemeClr w14:val="bg1"/>
                              </w14:solidFill>
                            </w14:textFill>
                          </w:rPr>
                          <w:t>教师发展中心   学生家长发展中心学</w:t>
                        </w:r>
                      </w:p>
                      <w:p>
                        <w:pPr>
                          <w:pStyle w:val="8"/>
                          <w:kinsoku w:val="0"/>
                          <w:overflowPunct w:val="0"/>
                          <w:spacing w:before="0" w:beforeAutospacing="0" w:after="185" w:afterAutospacing="0" w:line="216" w:lineRule="auto"/>
                          <w:jc w:val="center"/>
                          <w:textAlignment w:val="baseline"/>
                        </w:pPr>
                        <w:r>
                          <w:rPr>
                            <w:rFonts w:hint="eastAsia" w:ascii="微软雅黑" w:hAnsi="微软雅黑" w:eastAsia="微软雅黑" w:cstheme="minorBidi"/>
                            <w:b/>
                            <w:bCs/>
                            <w:color w:val="FFFFFF" w:themeColor="background1"/>
                            <w:kern w:val="24"/>
                            <w:sz w:val="32"/>
                            <w:szCs w:val="40"/>
                            <w14:textFill>
                              <w14:solidFill>
                                <w14:schemeClr w14:val="bg1"/>
                              </w14:solidFill>
                            </w14:textFill>
                          </w:rPr>
                          <w:t>校服务中心  文化交流中心</w:t>
                        </w:r>
                        <w:r>
                          <w:rPr>
                            <w:rFonts w:hint="eastAsia" w:ascii="微软雅黑" w:hAnsi="微软雅黑" w:eastAsia="微软雅黑" w:cstheme="minorBidi"/>
                            <w:b/>
                            <w:bCs/>
                            <w:color w:val="FFFFFF" w:themeColor="background1"/>
                            <w:kern w:val="24"/>
                            <w:sz w:val="40"/>
                            <w:szCs w:val="40"/>
                            <w14:textFill>
                              <w14:solidFill>
                                <w14:schemeClr w14:val="bg1"/>
                              </w14:solidFill>
                            </w14:textFill>
                          </w:rPr>
                          <w:t xml:space="preserve">   </w:t>
                        </w:r>
                      </w:p>
                      <w:p/>
                    </w:txbxContent>
                  </v:textbox>
                </v:rect>
                <v:rect id="Rectangle 6" o:spid="_x0000_s1026" o:spt="1" style="position:absolute;left:316925;top:5214731;height:424355;width:8715435;" fillcolor="#CCCCD9" filled="t" stroked="t" coordsize="21600,21600" o:gfxdata="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goySbgAAADbAAAA&#10;DwAAAAAAAAABACAAAAAiAAAAZHJzL2Rvd25yZXYueG1sUEsBAhQAFAAAAAgAh07iQDMvBZ47AAAA&#10;OQAAABAAAAAAAAAAAQAgAAAABwEAAGRycy9zaGFwZXhtbC54bWxQSwUGAAAAAAYABgBbAQAAsQMA&#10;AAAA&#10;">
                  <v:fill on="t" opacity="58338f" focussize="0,0"/>
                  <v:stroke color="#CCCCD9" opacity="53198f" miterlimit="8" joinstyle="miter"/>
                  <v:imagedata o:title=""/>
                  <o:lock v:ext="edit" aspectratio="f"/>
                </v:rect>
                <v:rect id="Rectangle 7" o:spid="_x0000_s1026" o:spt="1" style="position:absolute;left:396156;top:5196223;height:424355;width:8715436;v-text-anchor:middle;" filled="f" stroked="f" coordsize="21600,21600" o:gfxdata="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tgl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13.44pt,2.4pt,13.44pt,2.4pt">
                    <w:txbxContent>
                      <w:p>
                        <w:pPr>
                          <w:pStyle w:val="8"/>
                          <w:kinsoku w:val="0"/>
                          <w:overflowPunct w:val="0"/>
                          <w:spacing w:before="0" w:beforeAutospacing="0" w:after="151" w:afterAutospacing="0" w:line="216" w:lineRule="auto"/>
                          <w:jc w:val="center"/>
                          <w:textAlignment w:val="baseline"/>
                        </w:pPr>
                        <w:r>
                          <w:rPr>
                            <w:rFonts w:hint="eastAsia" w:ascii="微软雅黑" w:hAnsi="微软雅黑" w:eastAsia="微软雅黑" w:cstheme="minorBidi"/>
                            <w:color w:val="000000"/>
                            <w:kern w:val="24"/>
                          </w:rPr>
                          <w:t>实施途径</w:t>
                        </w:r>
                      </w:p>
                    </w:txbxContent>
                  </v:textbox>
                </v:rect>
                <v:rect id="Rectangle 9" o:spid="_x0000_s1026" o:spt="1" style="position:absolute;left:316925;top:3510169;height:498006;width:8715435;v-text-anchor:middle;" filled="f" stroked="f" coordsize="21600,21600" o:gfxdata="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b/s5i8AAAA&#10;2wAAAA8AAAAAAAAAAQAgAAAAIgAAAGRycy9kb3ducmV2LnhtbFBLAQIUABQAAAAIAIdO4kAzLwWe&#10;OwAAADkAAAAQAAAAAAAAAAEAIAAAAAsBAABkcnMvc2hhcGV4bWwueG1sUEsFBgAAAAAGAAYAWwEA&#10;ALUDAAAAAA==&#10;">
                  <v:fill on="f" focussize="0,0"/>
                  <v:stroke on="f" miterlimit="8" joinstyle="miter"/>
                  <v:imagedata o:title=""/>
                  <o:lock v:ext="edit" aspectratio="f"/>
                  <v:textbox inset="13.44pt,13.44pt,13.44pt,13.44pt"/>
                </v:rect>
                <v:rect id="Rectangle 11" o:spid="_x0000_s1026" o:spt="1" style="position:absolute;left:396156;top:3790429;height:424227;width:8715436;v-text-anchor:middle;" filled="f" stroked="f" coordsize="21600,21600" o:gfxdata="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vPlyrsAAADb&#10;AAAADwAAAAAAAAABACAAAAAiAAAAZHJzL2Rvd25yZXYueG1sUEsBAhQAFAAAAAgAh07iQDMvBZ47&#10;AAAAOQAAABAAAAAAAAAAAQAgAAAACgEAAGRycy9zaGFwZXhtbC54bWxQSwUGAAAAAAYABgBbAQAA&#10;tAMAAAAA&#10;">
                  <v:fill on="f" focussize="0,0"/>
                  <v:stroke on="f" miterlimit="8" joinstyle="miter"/>
                  <v:imagedata o:title=""/>
                  <o:lock v:ext="edit" aspectratio="f"/>
                  <v:textbox inset="13.44pt,2.4pt,13.44pt,2.4pt"/>
                </v:rect>
                <v:shape id="AutoShape 12" o:spid="_x0000_s1026" o:spt="79" type="#_x0000_t79" style="position:absolute;left:316889;top:3429000;height:1418823;width:8715470;rotation:11796480f;" fillcolor="#800000" filled="t" stroked="f" coordsize="21600,21600" o:gfxdata="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J1nIS/&#10;AAAA2wAAAA8AAAAAAAAAAQAgAAAAIgAAAGRycy9kb3ducmV2LnhtbFBLAQIUABQAAAAIAIdO4kAz&#10;LwWeOwAAADkAAAAQAAAAAAAAAAEAIAAAAA4BAABkcnMvc2hhcGV4bWwueG1sUEsFBgAAAAAGAAYA&#10;WwEAALgDAAAAAA==&#10;" adj="7565,9921,5400,10360">
                  <v:fill on="t" focussize="0,0"/>
                  <v:stroke on="f" miterlimit="8" joinstyle="miter"/>
                  <v:imagedata o:title=""/>
                  <o:lock v:ext="edit" aspectratio="f"/>
                </v:shape>
                <v:rect id="Rectangle 13" o:spid="_x0000_s1026" o:spt="1" style="position:absolute;left:396156;top:3510170;height:498006;width:8715435;v-text-anchor:middle;" filled="f" stroked="f" coordsize="21600,21600" o:gfxdata="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iBAAvQAA&#10;ANsAAAAPAAAAAAAAAAEAIAAAACIAAABkcnMvZG93bnJldi54bWxQSwECFAAUAAAACACHTuJAMy8F&#10;njsAAAA5AAAAEAAAAAAAAAABACAAAAAMAQAAZHJzL3NoYXBleG1sLnhtbFBLBQYAAAAABgAGAFsB&#10;AAC2AwAAAAA=&#10;">
                  <v:fill on="f" focussize="0,0"/>
                  <v:stroke on="f" miterlimit="8" joinstyle="miter"/>
                  <v:imagedata o:title=""/>
                  <o:lock v:ext="edit" aspectratio="f"/>
                  <v:textbox inset="13.44pt,13.44pt,13.44pt,13.44pt">
                    <w:txbxContent>
                      <w:p>
                        <w:pPr>
                          <w:pStyle w:val="8"/>
                          <w:kinsoku w:val="0"/>
                          <w:overflowPunct w:val="0"/>
                          <w:spacing w:before="0" w:beforeAutospacing="0" w:after="168" w:afterAutospacing="0" w:line="216" w:lineRule="auto"/>
                          <w:jc w:val="center"/>
                          <w:textAlignment w:val="baseline"/>
                        </w:pPr>
                        <w:r>
                          <w:rPr>
                            <w:rFonts w:hint="eastAsia" w:ascii="微软雅黑" w:hAnsi="微软雅黑" w:eastAsia="微软雅黑" w:cstheme="minorBidi"/>
                            <w:b/>
                            <w:bCs/>
                            <w:color w:val="FFFFFF" w:themeColor="background1"/>
                            <w:kern w:val="24"/>
                            <w:sz w:val="40"/>
                            <w:szCs w:val="40"/>
                            <w14:textFill>
                              <w14:solidFill>
                                <w14:schemeClr w14:val="bg1"/>
                              </w14:solidFill>
                            </w14:textFill>
                          </w:rPr>
                          <w:t>校  长</w:t>
                        </w:r>
                      </w:p>
                    </w:txbxContent>
                  </v:textbox>
                </v:rect>
                <v:rect id="Rectangle 14" o:spid="_x0000_s1026" o:spt="1" style="position:absolute;left:316925;top:3997187;height:324678;width:8715435;" fillcolor="#CCCCD9" filled="t" stroked="t" coordsize="21600,21600" o:gfxdata="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q8PprsAAADb&#10;AAAADwAAAAAAAAABACAAAAAiAAAAZHJzL2Rvd25yZXYueG1sUEsBAhQAFAAAAAgAh07iQDMvBZ47&#10;AAAAOQAAABAAAAAAAAAAAQAgAAAACgEAAGRycy9zaGFwZXhtbC54bWxQSwUGAAAAAAYABgBbAQAA&#10;tAMAAAAA&#10;">
                  <v:fill on="t" opacity="58338f" focussize="0,0"/>
                  <v:stroke color="#CCCCD9" opacity="53198f" miterlimit="8" joinstyle="miter"/>
                  <v:imagedata o:title=""/>
                  <o:lock v:ext="edit" aspectratio="f"/>
                </v:rect>
                <v:rect id="Rectangle 15" o:spid="_x0000_s1026" o:spt="1" style="position:absolute;left:316925;top:3834847;height:613529;width:8715435;v-text-anchor:middle;" filled="f" stroked="f" coordsize="21600,21600" o:gfxdata="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Dvu/PtwAAANsAAAAP&#10;AAAAAAAAAAEAIAAAACIAAABkcnMvZG93bnJldi54bWxQSwECFAAUAAAACACHTuJAMy8FnjsAAAA5&#10;AAAAEAAAAAAAAAABACAAAAAGAQAAZHJzL3NoYXBleG1sLnhtbFBLBQYAAAAABgAGAFsBAACwAwAA&#10;AAA=&#10;">
                  <v:fill on="f" focussize="0,0"/>
                  <v:stroke on="f" miterlimit="8" joinstyle="miter"/>
                  <v:imagedata o:title=""/>
                  <o:lock v:ext="edit" aspectratio="f"/>
                  <v:textbox inset="13.44pt,2.4pt,13.44pt,2.4pt">
                    <w:txbxContent>
                      <w:p>
                        <w:pPr>
                          <w:pStyle w:val="8"/>
                          <w:kinsoku w:val="0"/>
                          <w:overflowPunct w:val="0"/>
                          <w:spacing w:before="0" w:beforeAutospacing="0" w:after="151" w:afterAutospacing="0" w:line="216" w:lineRule="auto"/>
                          <w:jc w:val="center"/>
                          <w:textAlignment w:val="baseline"/>
                        </w:pPr>
                        <w:r>
                          <w:rPr>
                            <w:rFonts w:hint="eastAsia" w:ascii="微软雅黑" w:hAnsi="微软雅黑" w:eastAsia="微软雅黑" w:cstheme="minorBidi"/>
                            <w:color w:val="000000"/>
                            <w:kern w:val="24"/>
                          </w:rPr>
                          <w:t xml:space="preserve">  办学理念</w:t>
                        </w:r>
                      </w:p>
                    </w:txbxContent>
                  </v:textbox>
                </v:rect>
                <w10:wrap type="none"/>
                <w10:anchorlock/>
              </v:group>
            </w:pict>
          </mc:Fallback>
        </mc:AlternateContent>
      </w:r>
    </w:p>
    <w:p>
      <w:pPr>
        <w:ind w:firstLine="555"/>
        <w:rPr>
          <w:rFonts w:ascii="楷体_GB2312" w:hAnsi="楷体" w:eastAsia="楷体_GB2312"/>
          <w:sz w:val="28"/>
          <w:szCs w:val="28"/>
        </w:rPr>
      </w:pPr>
      <w:r>
        <w:rPr>
          <w:rFonts w:hint="eastAsia" w:ascii="楷体_GB2312" w:hAnsi="楷体" w:eastAsia="楷体_GB2312"/>
          <w:b/>
          <w:sz w:val="28"/>
          <w:szCs w:val="28"/>
        </w:rPr>
        <w:t>⑵修改完善，建章立制。</w:t>
      </w:r>
      <w:r>
        <w:rPr>
          <w:rFonts w:hint="eastAsia" w:ascii="楷体_GB2312" w:hAnsi="楷体" w:eastAsia="楷体_GB2312"/>
          <w:sz w:val="28"/>
          <w:szCs w:val="28"/>
        </w:rPr>
        <w:t>建校以来，我们根据学校实际工作的需要不断完善着制度，</w:t>
      </w:r>
      <w:r>
        <w:rPr>
          <w:rFonts w:ascii="楷体_GB2312" w:hAnsi="楷体" w:eastAsia="楷体_GB2312"/>
          <w:sz w:val="28"/>
          <w:szCs w:val="28"/>
        </w:rPr>
        <w:t>制订了</w:t>
      </w:r>
      <w:r>
        <w:rPr>
          <w:rFonts w:hint="eastAsia" w:ascii="楷体_GB2312" w:hAnsi="楷体" w:eastAsia="楷体_GB2312"/>
          <w:sz w:val="28"/>
          <w:szCs w:val="28"/>
        </w:rPr>
        <w:t>《</w:t>
      </w:r>
      <w:r>
        <w:rPr>
          <w:rFonts w:ascii="楷体_GB2312" w:hAnsi="楷体" w:eastAsia="楷体_GB2312"/>
          <w:sz w:val="28"/>
          <w:szCs w:val="28"/>
        </w:rPr>
        <w:t>成都</w:t>
      </w:r>
      <w:r>
        <w:rPr>
          <w:rFonts w:hint="eastAsia" w:ascii="楷体_GB2312" w:hAnsi="楷体" w:eastAsia="楷体_GB2312"/>
          <w:sz w:val="28"/>
          <w:szCs w:val="28"/>
        </w:rPr>
        <w:t>蒙彼利埃小学规章制度（</w:t>
      </w:r>
      <w:r>
        <w:rPr>
          <w:rFonts w:ascii="楷体_GB2312" w:hAnsi="楷体" w:eastAsia="楷体_GB2312"/>
          <w:sz w:val="28"/>
          <w:szCs w:val="28"/>
        </w:rPr>
        <w:t>试行稿</w:t>
      </w:r>
      <w:r>
        <w:rPr>
          <w:rFonts w:hint="eastAsia" w:ascii="楷体_GB2312" w:hAnsi="楷体" w:eastAsia="楷体_GB2312"/>
          <w:sz w:val="28"/>
          <w:szCs w:val="28"/>
        </w:rPr>
        <w:t>）》制度调控了了学校各种利益关系，保证了各项工作的开展。未来，我们还将完善各种制度以提高了学校的管理效能。</w:t>
      </w:r>
    </w:p>
    <w:p>
      <w:pPr>
        <w:ind w:firstLine="555"/>
        <w:rPr>
          <w:rFonts w:ascii="楷体_GB2312" w:hAnsi="楷体" w:eastAsia="楷体_GB2312"/>
          <w:b/>
          <w:sz w:val="28"/>
          <w:szCs w:val="28"/>
        </w:rPr>
      </w:pPr>
      <w:r>
        <w:rPr>
          <w:rFonts w:hint="eastAsia" w:ascii="楷体_GB2312" w:hAnsi="楷体" w:eastAsia="楷体_GB2312"/>
          <w:b/>
          <w:sz w:val="28"/>
          <w:szCs w:val="28"/>
        </w:rPr>
        <w:t>⑶双管齐下，以人为本。</w:t>
      </w:r>
      <w:r>
        <w:rPr>
          <w:rFonts w:hint="eastAsia" w:ascii="楷体_GB2312" w:hAnsi="楷体" w:eastAsia="楷体_GB2312"/>
          <w:sz w:val="28"/>
          <w:szCs w:val="28"/>
        </w:rPr>
        <w:t>现代管理理念认为，团队管理三分靠制度，七分靠感情。在落实制度管理的同时，学校做到了人本管理。在管理上严格要求，在细节处体现关心，为教师营造团结协作、公平竞争的工作环境。</w:t>
      </w:r>
    </w:p>
    <w:p>
      <w:pPr>
        <w:ind w:firstLine="555"/>
        <w:rPr>
          <w:rFonts w:ascii="楷体_GB2312" w:hAnsi="楷体" w:eastAsia="楷体_GB2312"/>
          <w:sz w:val="28"/>
          <w:szCs w:val="28"/>
        </w:rPr>
      </w:pPr>
      <w:r>
        <w:rPr>
          <w:rFonts w:hint="eastAsia" w:ascii="楷体_GB2312" w:hAnsi="楷体" w:eastAsia="楷体_GB2312"/>
          <w:sz w:val="28"/>
          <w:szCs w:val="28"/>
        </w:rPr>
        <w:t>在人文管理的同时，学校会依照各项制度严格要求教师。由于建校才刚满三年，我们教师队伍非常年轻，且又来自各个地区。为了让教师能尽快适应学校的工作，学校给教师压担子，促使教师不断学习内化学校的办学理念和核心价值观。使其全身心地投入教育教学工作中，在教学能力、专业知识、教研能力等业务素养方面尽快提升。</w:t>
      </w:r>
    </w:p>
    <w:p>
      <w:pPr>
        <w:ind w:firstLine="555"/>
        <w:rPr>
          <w:rFonts w:ascii="楷体_GB2312" w:eastAsia="楷体_GB2312"/>
          <w:sz w:val="28"/>
          <w:szCs w:val="28"/>
        </w:rPr>
      </w:pPr>
      <w:r>
        <w:rPr>
          <w:rFonts w:hint="eastAsia" w:ascii="楷体_GB2312" w:hAnsi="楷体" w:eastAsia="楷体_GB2312"/>
          <w:b/>
          <w:sz w:val="28"/>
          <w:szCs w:val="28"/>
        </w:rPr>
        <w:t>⑷公开透明，民主决策。</w:t>
      </w:r>
      <w:r>
        <w:rPr>
          <w:rFonts w:hint="eastAsia" w:ascii="楷体_GB2312" w:hAnsi="楷体" w:eastAsia="楷体_GB2312"/>
          <w:sz w:val="28"/>
          <w:szCs w:val="28"/>
        </w:rPr>
        <w:t>建校以来，我们一直以开放包容的姿态，面对来自社会各方的监督。我们深知管理的公开化透明化是促进学校民主管理和科学决策的有效形式，也是依法治校完善民主管理制度的有效途径。为此我们建立健全校务公开制度，</w:t>
      </w:r>
      <w:r>
        <w:rPr>
          <w:rFonts w:hint="eastAsia" w:ascii="楷体_GB2312" w:eastAsia="楷体_GB2312"/>
          <w:sz w:val="28"/>
          <w:szCs w:val="28"/>
        </w:rPr>
        <w:t xml:space="preserve">认真做好校务公开工作。 </w:t>
      </w:r>
    </w:p>
    <w:p>
      <w:pPr>
        <w:ind w:firstLine="560" w:firstLineChars="200"/>
        <w:rPr>
          <w:rFonts w:ascii="楷体_GB2312" w:hAnsi="楷体" w:eastAsia="楷体_GB2312"/>
          <w:sz w:val="28"/>
          <w:szCs w:val="28"/>
        </w:rPr>
      </w:pPr>
      <w:r>
        <w:rPr>
          <w:rFonts w:hint="eastAsia" w:ascii="楷体_GB2312" w:hAnsi="楷体" w:eastAsia="楷体_GB2312"/>
          <w:sz w:val="28"/>
          <w:szCs w:val="28"/>
        </w:rPr>
        <w:t>凡是涉及学生发展、教师利益以及家长工作的，诸如</w:t>
      </w:r>
      <w:r>
        <w:rPr>
          <w:rFonts w:hint="eastAsia" w:ascii="楷体_GB2312" w:eastAsia="楷体_GB2312"/>
          <w:sz w:val="28"/>
          <w:szCs w:val="28"/>
        </w:rPr>
        <w:t>职称评定、年度考核、评优选先、人事聘用、物品采购、食堂管理等各项重大事宜时，</w:t>
      </w:r>
      <w:r>
        <w:rPr>
          <w:rFonts w:hint="eastAsia" w:ascii="楷体_GB2312" w:hAnsi="楷体" w:eastAsia="楷体_GB2312"/>
          <w:sz w:val="28"/>
          <w:szCs w:val="28"/>
        </w:rPr>
        <w:t>一律公开，都要通过教工代表大会决议，</w:t>
      </w:r>
      <w:r>
        <w:rPr>
          <w:rFonts w:hint="eastAsia" w:ascii="楷体_GB2312" w:eastAsia="楷体_GB2312"/>
          <w:sz w:val="28"/>
          <w:szCs w:val="28"/>
        </w:rPr>
        <w:t>都要组织多方进行考评及时公示，</w:t>
      </w:r>
      <w:r>
        <w:rPr>
          <w:rFonts w:hint="eastAsia" w:ascii="楷体_GB2312" w:hAnsi="楷体" w:eastAsia="楷体_GB2312"/>
          <w:sz w:val="28"/>
          <w:szCs w:val="28"/>
        </w:rPr>
        <w:t>以确保公平公正。</w:t>
      </w:r>
      <w:r>
        <w:rPr>
          <w:rFonts w:hint="eastAsia" w:ascii="楷体_GB2312" w:eastAsia="楷体_GB2312"/>
          <w:sz w:val="28"/>
          <w:szCs w:val="28"/>
        </w:rPr>
        <w:t>做到载体多样，沟通渠道畅通无阻。</w:t>
      </w:r>
    </w:p>
    <w:p>
      <w:pPr>
        <w:rPr>
          <w:rFonts w:ascii="楷体_GB2312" w:hAnsi="楷体" w:eastAsia="楷体_GB2312"/>
          <w:b/>
          <w:sz w:val="28"/>
          <w:szCs w:val="28"/>
        </w:rPr>
      </w:pPr>
      <w:r>
        <w:rPr>
          <w:rFonts w:hint="eastAsia" w:ascii="楷体_GB2312" w:hAnsi="楷体" w:eastAsia="楷体_GB2312"/>
          <w:sz w:val="28"/>
          <w:szCs w:val="28"/>
        </w:rPr>
        <w:t xml:space="preserve">    </w:t>
      </w:r>
      <w:r>
        <w:rPr>
          <w:rFonts w:hint="eastAsia" w:ascii="楷体_GB2312" w:hAnsi="楷体" w:eastAsia="楷体_GB2312"/>
          <w:b/>
          <w:sz w:val="28"/>
          <w:szCs w:val="28"/>
        </w:rPr>
        <w:t>⑸项目推进，优化实施。</w:t>
      </w:r>
      <w:r>
        <w:rPr>
          <w:rFonts w:hint="eastAsia" w:ascii="楷体_GB2312" w:hAnsi="楷体" w:eastAsia="楷体_GB2312"/>
          <w:sz w:val="28"/>
          <w:szCs w:val="28"/>
        </w:rPr>
        <w:t>学校工作的重点是管理，管理工作的关键是管教师，管理教师就是要调动教师工作的积极性。</w:t>
      </w:r>
      <w:r>
        <w:rPr>
          <w:rFonts w:hint="eastAsia" w:ascii="华文楷体" w:hAnsi="华文楷体" w:eastAsia="华文楷体"/>
          <w:sz w:val="28"/>
          <w:szCs w:val="28"/>
        </w:rPr>
        <w:t>基于学校的核心价值观及学校的办学理念和办学愿景，2014以来，学校采用项目管理的方式对学校的各项事务进行科学、规范的管理。以此促进学生的发展、教师的专业成长，进而推动学校的发展。</w:t>
      </w:r>
    </w:p>
    <w:p>
      <w:pPr>
        <w:spacing w:line="400" w:lineRule="exact"/>
        <w:rPr>
          <w:rFonts w:ascii="华文楷体" w:hAnsi="华文楷体" w:eastAsia="华文楷体"/>
          <w:sz w:val="24"/>
        </w:rPr>
      </w:pPr>
      <w:r>
        <w:rPr>
          <w:rFonts w:hint="eastAsia" w:ascii="华文楷体" w:hAnsi="华文楷体" w:eastAsia="华文楷体"/>
          <w:b/>
          <w:sz w:val="28"/>
          <w:szCs w:val="28"/>
        </w:rPr>
        <w:t xml:space="preserve">   </w:t>
      </w:r>
      <w:r>
        <w:rPr>
          <w:rFonts w:hint="eastAsia" w:ascii="华文楷体" w:hAnsi="华文楷体" w:eastAsia="华文楷体"/>
          <w:sz w:val="28"/>
          <w:szCs w:val="28"/>
        </w:rPr>
        <w:t xml:space="preserve"> </w:t>
      </w:r>
      <w:r>
        <w:rPr>
          <w:rFonts w:hint="eastAsia" w:ascii="华文楷体" w:hAnsi="华文楷体" w:eastAsia="华文楷体"/>
          <w:sz w:val="24"/>
        </w:rPr>
        <w:t>项目管理流程如下：</w:t>
      </w:r>
    </w:p>
    <w:p>
      <w:pPr>
        <w:spacing w:line="240" w:lineRule="exact"/>
        <w:ind w:firstLine="555"/>
        <w:rPr>
          <w:rFonts w:ascii="华文楷体" w:hAnsi="华文楷体" w:eastAsia="华文楷体"/>
          <w:szCs w:val="21"/>
        </w:rPr>
      </w:pPr>
      <w:r>
        <w:rPr>
          <w:rFonts w:ascii="华文楷体" w:hAnsi="华文楷体" w:eastAsia="华文楷体"/>
          <w:b/>
          <w:szCs w:val="21"/>
        </w:rPr>
        <mc:AlternateContent>
          <mc:Choice Requires="wps">
            <w:drawing>
              <wp:anchor distT="0" distB="0" distL="114300" distR="114300" simplePos="0" relativeHeight="251669504" behindDoc="0" locked="0" layoutInCell="1" allowOverlap="1">
                <wp:simplePos x="0" y="0"/>
                <wp:positionH relativeFrom="column">
                  <wp:posOffset>456565</wp:posOffset>
                </wp:positionH>
                <wp:positionV relativeFrom="paragraph">
                  <wp:posOffset>91440</wp:posOffset>
                </wp:positionV>
                <wp:extent cx="815340" cy="295275"/>
                <wp:effectExtent l="8890" t="13970" r="13970" b="5080"/>
                <wp:wrapNone/>
                <wp:docPr id="16" name="Text Box 2"/>
                <wp:cNvGraphicFramePr/>
                <a:graphic xmlns:a="http://schemas.openxmlformats.org/drawingml/2006/main">
                  <a:graphicData uri="http://schemas.microsoft.com/office/word/2010/wordprocessingShape">
                    <wps:wsp>
                      <wps:cNvSpPr txBox="1">
                        <a:spLocks noChangeArrowheads="1"/>
                      </wps:cNvSpPr>
                      <wps:spPr bwMode="auto">
                        <a:xfrm>
                          <a:off x="0" y="0"/>
                          <a:ext cx="815340" cy="295275"/>
                        </a:xfrm>
                        <a:prstGeom prst="rect">
                          <a:avLst/>
                        </a:prstGeom>
                        <a:solidFill>
                          <a:srgbClr val="FFFFFF"/>
                        </a:solidFill>
                        <a:ln w="9525">
                          <a:solidFill>
                            <a:srgbClr val="000000"/>
                          </a:solidFill>
                          <a:miter lim="800000"/>
                        </a:ln>
                      </wps:spPr>
                      <wps:txbx>
                        <w:txbxContent>
                          <w:p>
                            <w:pPr>
                              <w:jc w:val="center"/>
                              <w:rPr>
                                <w:rFonts w:ascii="楷体_GB2312" w:eastAsia="楷体_GB2312"/>
                              </w:rPr>
                            </w:pPr>
                            <w:r>
                              <w:rPr>
                                <w:rFonts w:hint="eastAsia" w:ascii="楷体_GB2312" w:eastAsia="楷体_GB2312"/>
                              </w:rPr>
                              <w:t>项目申报</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35.95pt;margin-top:7.2pt;height:23.25pt;width:64.2pt;z-index:251669504;mso-width-relative:page;mso-height-relative:page;" fillcolor="#FFFFFF" filled="t" stroked="t" coordsize="21600,21600" o:gfxdata="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lq7Z9cAAAAIAQAADwAAAAAAAAAB&#10;ACAAAAAiAAAAZHJzL2Rvd25yZXYueG1sUEsBAhQAFAAAAAgAh07iQC3JlcMRAgAAOAQAAA4AAAAA&#10;AAAAAQAgAAAAJgEAAGRycy9lMm9Eb2MueG1sUEsFBgAAAAAGAAYAWQEAAKkFAAAAAA==&#10;">
                <v:fill on="t" focussize="0,0"/>
                <v:stroke color="#000000" miterlimit="8" joinstyle="miter"/>
                <v:imagedata o:title=""/>
                <o:lock v:ext="edit" aspectratio="f"/>
                <v:textbox>
                  <w:txbxContent>
                    <w:p>
                      <w:pPr>
                        <w:jc w:val="center"/>
                        <w:rPr>
                          <w:rFonts w:ascii="楷体_GB2312" w:eastAsia="楷体_GB2312"/>
                        </w:rPr>
                      </w:pPr>
                      <w:r>
                        <w:rPr>
                          <w:rFonts w:hint="eastAsia" w:ascii="楷体_GB2312" w:eastAsia="楷体_GB2312"/>
                        </w:rPr>
                        <w:t>项目申报</w:t>
                      </w:r>
                    </w:p>
                  </w:txbxContent>
                </v:textbox>
              </v:shape>
            </w:pict>
          </mc:Fallback>
        </mc:AlternateContent>
      </w:r>
      <w:r>
        <w:rPr>
          <w:rFonts w:ascii="华文楷体" w:hAnsi="华文楷体" w:eastAsia="华文楷体"/>
          <w:b/>
          <w:sz w:val="24"/>
        </w:rPr>
        <mc:AlternateContent>
          <mc:Choice Requires="wps">
            <w:drawing>
              <wp:anchor distT="0" distB="0" distL="114300" distR="114300" simplePos="0" relativeHeight="251673600" behindDoc="0" locked="0" layoutInCell="1" allowOverlap="1">
                <wp:simplePos x="0" y="0"/>
                <wp:positionH relativeFrom="column">
                  <wp:posOffset>1481455</wp:posOffset>
                </wp:positionH>
                <wp:positionV relativeFrom="paragraph">
                  <wp:posOffset>91440</wp:posOffset>
                </wp:positionV>
                <wp:extent cx="73025" cy="295275"/>
                <wp:effectExtent l="5080" t="13970" r="7620" b="5080"/>
                <wp:wrapNone/>
                <wp:docPr id="15" name="AutoShape 6"/>
                <wp:cNvGraphicFramePr/>
                <a:graphic xmlns:a="http://schemas.openxmlformats.org/drawingml/2006/main">
                  <a:graphicData uri="http://schemas.microsoft.com/office/word/2010/wordprocessingShape">
                    <wps:wsp>
                      <wps:cNvSpPr/>
                      <wps:spPr bwMode="auto">
                        <a:xfrm>
                          <a:off x="0" y="0"/>
                          <a:ext cx="73025" cy="295275"/>
                        </a:xfrm>
                        <a:prstGeom prst="leftBrace">
                          <a:avLst>
                            <a:gd name="adj1" fmla="val 33696"/>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6" o:spid="_x0000_s1026" o:spt="87" type="#_x0000_t87" style="position:absolute;left:0pt;margin-left:116.65pt;margin-top:7.2pt;height:23.25pt;width:5.75pt;z-index:251673600;mso-width-relative:page;mso-height-relative:page;" filled="f" stroked="t" coordsize="21600,21600" o:gfxdata="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PmDINoAAAAJAQAADwAAAAAAAAABACAA&#10;AAAiAAAAZHJzL2Rvd25yZXYueG1sUEsBAhQAFAAAAAgAh07iQKEp1mkLAgAAEwQAAA4AAAAAAAAA&#10;AQAgAAAAKQEAAGRycy9lMm9Eb2MueG1sUEsFBgAAAAAGAAYAWQEAAKYFAAAAAA==&#10;" adj="1800,10800">
                <v:fill on="f" focussize="0,0"/>
                <v:stroke color="#000000" joinstyle="round"/>
                <v:imagedata o:title=""/>
                <o:lock v:ext="edit" aspectratio="f"/>
              </v:shape>
            </w:pict>
          </mc:Fallback>
        </mc:AlternateContent>
      </w:r>
      <w:r>
        <w:rPr>
          <w:rFonts w:hint="eastAsia" w:ascii="华文楷体" w:hAnsi="华文楷体" w:eastAsia="华文楷体"/>
          <w:b/>
          <w:sz w:val="24"/>
        </w:rPr>
        <w:t xml:space="preserve">                 </w:t>
      </w:r>
      <w:r>
        <w:rPr>
          <w:rFonts w:hint="eastAsia" w:ascii="华文楷体" w:hAnsi="华文楷体" w:eastAsia="华文楷体"/>
          <w:szCs w:val="21"/>
        </w:rPr>
        <w:t>项目主题的确定（根据需求确立目标）</w:t>
      </w:r>
    </w:p>
    <w:p>
      <w:pPr>
        <w:spacing w:line="240" w:lineRule="exact"/>
        <w:ind w:left="4099" w:hanging="4099" w:hangingChars="1950"/>
        <w:rPr>
          <w:rFonts w:ascii="华文楷体" w:hAnsi="华文楷体" w:eastAsia="华文楷体"/>
          <w:b/>
          <w:szCs w:val="21"/>
        </w:rPr>
      </w:pPr>
      <w:r>
        <w:rPr>
          <w:rFonts w:hint="eastAsia" w:ascii="华文楷体" w:hAnsi="华文楷体" w:eastAsia="华文楷体"/>
          <w:b/>
          <w:szCs w:val="21"/>
        </w:rPr>
        <w:t xml:space="preserve">                         </w:t>
      </w:r>
      <w:r>
        <w:rPr>
          <w:rFonts w:hint="eastAsia" w:ascii="华文楷体" w:hAnsi="华文楷体" w:eastAsia="华文楷体"/>
          <w:szCs w:val="21"/>
        </w:rPr>
        <w:t>项目实施人员确定（建立项目组，确立合作关系）</w:t>
      </w:r>
    </w:p>
    <w:p>
      <w:pPr>
        <w:spacing w:line="240" w:lineRule="exact"/>
        <w:ind w:firstLine="555"/>
        <w:rPr>
          <w:rFonts w:ascii="华文楷体" w:hAnsi="华文楷体" w:eastAsia="华文楷体"/>
          <w:szCs w:val="21"/>
        </w:rPr>
      </w:pPr>
      <w:r>
        <w:rPr>
          <w:rFonts w:ascii="华文楷体" w:hAnsi="华文楷体" w:eastAsia="华文楷体"/>
          <w:b/>
          <w:szCs w:val="21"/>
        </w:rPr>
        <mc:AlternateContent>
          <mc:Choice Requires="wps">
            <w:drawing>
              <wp:anchor distT="0" distB="0" distL="114300" distR="114300" simplePos="0" relativeHeight="251677696" behindDoc="0" locked="0" layoutInCell="1" allowOverlap="1">
                <wp:simplePos x="0" y="0"/>
                <wp:positionH relativeFrom="column">
                  <wp:posOffset>837565</wp:posOffset>
                </wp:positionH>
                <wp:positionV relativeFrom="paragraph">
                  <wp:posOffset>132715</wp:posOffset>
                </wp:positionV>
                <wp:extent cx="5080" cy="212725"/>
                <wp:effectExtent l="56515" t="7620" r="52705" b="17780"/>
                <wp:wrapNone/>
                <wp:docPr id="14" name="AutoShape 10"/>
                <wp:cNvGraphicFramePr/>
                <a:graphic xmlns:a="http://schemas.openxmlformats.org/drawingml/2006/main">
                  <a:graphicData uri="http://schemas.microsoft.com/office/word/2010/wordprocessingShape">
                    <wps:wsp>
                      <wps:cNvCnPr>
                        <a:cxnSpLocks noChangeShapeType="1"/>
                      </wps:cNvCnPr>
                      <wps:spPr bwMode="auto">
                        <a:xfrm>
                          <a:off x="0" y="0"/>
                          <a:ext cx="5080" cy="212725"/>
                        </a:xfrm>
                        <a:prstGeom prst="straightConnector1">
                          <a:avLst/>
                        </a:prstGeom>
                        <a:noFill/>
                        <a:ln w="9525">
                          <a:solidFill>
                            <a:srgbClr val="000000"/>
                          </a:solidFill>
                          <a:round/>
                          <a:tailEnd type="triangle" w="med" len="med"/>
                        </a:ln>
                      </wps:spPr>
                      <wps:bodyPr/>
                    </wps:wsp>
                  </a:graphicData>
                </a:graphic>
              </wp:anchor>
            </w:drawing>
          </mc:Choice>
          <mc:Fallback>
            <w:pict>
              <v:shape id="AutoShape 10" o:spid="_x0000_s1026" o:spt="32" type="#_x0000_t32" style="position:absolute;left:0pt;margin-left:65.95pt;margin-top:10.45pt;height:16.75pt;width:0.4pt;z-index:251677696;mso-width-relative:page;mso-height-relative:page;" filled="f" stroked="t" coordsize="21600,21600" o:gfxdata="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apT2gAAAAkBAAAPAAAAAAAA&#10;AAEAIAAAACIAAABkcnMvZG93bnJldi54bWxQSwECFAAUAAAACACHTuJAOCugkNcBAACWAwAADgAA&#10;AAAAAAABACAAAAApAQAAZHJzL2Uyb0RvYy54bWxQSwUGAAAAAAYABgBZAQAAcgUAAAAA&#10;">
                <v:fill on="f" focussize="0,0"/>
                <v:stroke color="#000000" joinstyle="round" endarrow="block"/>
                <v:imagedata o:title=""/>
                <o:lock v:ext="edit" aspectratio="f"/>
              </v:shape>
            </w:pict>
          </mc:Fallback>
        </mc:AlternateContent>
      </w:r>
      <w:r>
        <w:rPr>
          <w:rFonts w:hint="eastAsia" w:ascii="华文楷体" w:hAnsi="华文楷体" w:eastAsia="华文楷体"/>
          <w:b/>
          <w:szCs w:val="21"/>
        </w:rPr>
        <w:t xml:space="preserve">                    </w:t>
      </w:r>
      <w:r>
        <w:rPr>
          <w:rFonts w:hint="eastAsia" w:ascii="华文楷体" w:hAnsi="华文楷体" w:eastAsia="华文楷体"/>
          <w:szCs w:val="21"/>
        </w:rPr>
        <w:t>项目实施方案或计划的确定（包括经费预算）</w:t>
      </w:r>
    </w:p>
    <w:p>
      <w:pPr>
        <w:spacing w:line="240" w:lineRule="exact"/>
        <w:ind w:firstLine="555"/>
        <w:rPr>
          <w:rFonts w:ascii="华文楷体" w:hAnsi="华文楷体" w:eastAsia="华文楷体"/>
          <w:szCs w:val="21"/>
        </w:rPr>
      </w:pPr>
    </w:p>
    <w:p>
      <w:pPr>
        <w:spacing w:line="240" w:lineRule="exact"/>
        <w:ind w:left="2633" w:leftChars="1254"/>
        <w:rPr>
          <w:rFonts w:ascii="华文楷体" w:hAnsi="华文楷体" w:eastAsia="华文楷体"/>
          <w:szCs w:val="21"/>
        </w:rPr>
      </w:pPr>
      <w:r>
        <w:rPr>
          <w:rFonts w:ascii="华文楷体" w:hAnsi="华文楷体" w:eastAsia="华文楷体"/>
          <w:sz w:val="24"/>
        </w:rPr>
        <mc:AlternateContent>
          <mc:Choice Requires="wps">
            <w:drawing>
              <wp:anchor distT="0" distB="0" distL="114300" distR="114300" simplePos="0" relativeHeight="251670528" behindDoc="0" locked="0" layoutInCell="1" allowOverlap="1">
                <wp:simplePos x="0" y="0"/>
                <wp:positionH relativeFrom="column">
                  <wp:posOffset>371475</wp:posOffset>
                </wp:positionH>
                <wp:positionV relativeFrom="paragraph">
                  <wp:posOffset>40640</wp:posOffset>
                </wp:positionV>
                <wp:extent cx="1014730" cy="315595"/>
                <wp:effectExtent l="9525" t="10795" r="13970" b="6985"/>
                <wp:wrapNone/>
                <wp:docPr id="10" name="Text Box 3"/>
                <wp:cNvGraphicFramePr/>
                <a:graphic xmlns:a="http://schemas.openxmlformats.org/drawingml/2006/main">
                  <a:graphicData uri="http://schemas.microsoft.com/office/word/2010/wordprocessingShape">
                    <wps:wsp>
                      <wps:cNvSpPr txBox="1">
                        <a:spLocks noChangeArrowheads="1"/>
                      </wps:cNvSpPr>
                      <wps:spPr bwMode="auto">
                        <a:xfrm>
                          <a:off x="0" y="0"/>
                          <a:ext cx="1014730" cy="315595"/>
                        </a:xfrm>
                        <a:prstGeom prst="rect">
                          <a:avLst/>
                        </a:prstGeom>
                        <a:solidFill>
                          <a:srgbClr val="FFFFFF"/>
                        </a:solidFill>
                        <a:ln w="9525">
                          <a:solidFill>
                            <a:srgbClr val="000000"/>
                          </a:solidFill>
                          <a:miter lim="800000"/>
                        </a:ln>
                      </wps:spPr>
                      <wps:txbx>
                        <w:txbxContent>
                          <w:p>
                            <w:pPr>
                              <w:jc w:val="center"/>
                              <w:rPr>
                                <w:rFonts w:ascii="楷体_GB2312" w:eastAsia="楷体_GB2312"/>
                              </w:rPr>
                            </w:pPr>
                            <w:r>
                              <w:rPr>
                                <w:rFonts w:hint="eastAsia" w:ascii="楷体_GB2312" w:eastAsia="楷体_GB2312"/>
                              </w:rPr>
                              <w:t>项目申报评估</w:t>
                            </w:r>
                          </w:p>
                        </w:txbxContent>
                      </wps:txbx>
                      <wps:bodyPr rot="0" vert="horz" wrap="square" lIns="91440" tIns="45720" rIns="91440" bIns="45720" anchor="t" anchorCtr="0" upright="1">
                        <a:noAutofit/>
                      </wps:bodyPr>
                    </wps:wsp>
                  </a:graphicData>
                </a:graphic>
              </wp:anchor>
            </w:drawing>
          </mc:Choice>
          <mc:Fallback>
            <w:pict>
              <v:shape id="Text Box 3" o:spid="_x0000_s1026" o:spt="202" type="#_x0000_t202" style="position:absolute;left:0pt;margin-left:29.25pt;margin-top:3.2pt;height:24.85pt;width:79.9pt;z-index:251670528;mso-width-relative:page;mso-height-relative:page;" fillcolor="#FFFFFF" filled="t" stroked="t" coordsize="21600,21600" o:gfxdata="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YIHWfWAAAABwEAAA8AAAAAAAAA&#10;AQAgAAAAIgAAAGRycy9kb3ducmV2LnhtbFBLAQIUABQAAAAIAIdO4kCheg5zEwIAADkEAAAOAAAA&#10;AAAAAAEAIAAAACUBAABkcnMvZTJvRG9jLnhtbFBLBQYAAAAABgAGAFkBAACqBQAAAAA=&#10;">
                <v:fill on="t" focussize="0,0"/>
                <v:stroke color="#000000" miterlimit="8" joinstyle="miter"/>
                <v:imagedata o:title=""/>
                <o:lock v:ext="edit" aspectratio="f"/>
                <v:textbox>
                  <w:txbxContent>
                    <w:p>
                      <w:pPr>
                        <w:jc w:val="center"/>
                        <w:rPr>
                          <w:rFonts w:ascii="楷体_GB2312" w:eastAsia="楷体_GB2312"/>
                        </w:rPr>
                      </w:pPr>
                      <w:r>
                        <w:rPr>
                          <w:rFonts w:hint="eastAsia" w:ascii="楷体_GB2312" w:eastAsia="楷体_GB2312"/>
                        </w:rPr>
                        <w:t>项目申报评估</w:t>
                      </w:r>
                    </w:p>
                  </w:txbxContent>
                </v:textbox>
              </v:shape>
            </w:pict>
          </mc:Fallback>
        </mc:AlternateContent>
      </w:r>
      <w:r>
        <w:rPr>
          <w:rFonts w:hint="eastAsia" w:ascii="华文楷体" w:hAnsi="华文楷体" w:eastAsia="华文楷体"/>
          <w:szCs w:val="21"/>
        </w:rPr>
        <w:t>学校组织评估小组对申报项目的实施方案或计划的可行性进行评估论证。</w:t>
      </w:r>
    </w:p>
    <w:p>
      <w:pPr>
        <w:spacing w:line="240" w:lineRule="exact"/>
        <w:ind w:firstLine="420" w:firstLineChars="200"/>
        <w:rPr>
          <w:rFonts w:ascii="华文楷体" w:hAnsi="华文楷体" w:eastAsia="华文楷体"/>
          <w:sz w:val="24"/>
        </w:rPr>
      </w:pPr>
      <w:r>
        <w:rPr>
          <w:rFonts w:ascii="楷体_GB2312" w:hAnsi="华文楷体" w:eastAsia="楷体_GB2312"/>
          <w:szCs w:val="21"/>
        </w:rPr>
        <mc:AlternateContent>
          <mc:Choice Requires="wps">
            <w:drawing>
              <wp:anchor distT="0" distB="0" distL="114300" distR="114300" simplePos="0" relativeHeight="251678720" behindDoc="0" locked="0" layoutInCell="1" allowOverlap="1">
                <wp:simplePos x="0" y="0"/>
                <wp:positionH relativeFrom="column">
                  <wp:posOffset>850265</wp:posOffset>
                </wp:positionH>
                <wp:positionV relativeFrom="paragraph">
                  <wp:posOffset>107315</wp:posOffset>
                </wp:positionV>
                <wp:extent cx="2540" cy="454025"/>
                <wp:effectExtent l="59690" t="10795" r="52070" b="20955"/>
                <wp:wrapNone/>
                <wp:docPr id="9" name="AutoShape 11"/>
                <wp:cNvGraphicFramePr/>
                <a:graphic xmlns:a="http://schemas.openxmlformats.org/drawingml/2006/main">
                  <a:graphicData uri="http://schemas.microsoft.com/office/word/2010/wordprocessingShape">
                    <wps:wsp>
                      <wps:cNvCnPr>
                        <a:cxnSpLocks noChangeShapeType="1"/>
                      </wps:cNvCnPr>
                      <wps:spPr bwMode="auto">
                        <a:xfrm flipH="1">
                          <a:off x="0" y="0"/>
                          <a:ext cx="2540" cy="454025"/>
                        </a:xfrm>
                        <a:prstGeom prst="straightConnector1">
                          <a:avLst/>
                        </a:prstGeom>
                        <a:noFill/>
                        <a:ln w="9525">
                          <a:solidFill>
                            <a:srgbClr val="000000"/>
                          </a:solidFill>
                          <a:round/>
                          <a:tailEnd type="triangle" w="med" len="med"/>
                        </a:ln>
                      </wps:spPr>
                      <wps:bodyPr/>
                    </wps:wsp>
                  </a:graphicData>
                </a:graphic>
              </wp:anchor>
            </w:drawing>
          </mc:Choice>
          <mc:Fallback>
            <w:pict>
              <v:shape id="AutoShape 11" o:spid="_x0000_s1026" o:spt="32" type="#_x0000_t32" style="position:absolute;left:0pt;flip:x;margin-left:66.95pt;margin-top:8.45pt;height:35.75pt;width:0.2pt;z-index:251678720;mso-width-relative:page;mso-height-relative:page;" filled="f" stroked="t" coordsize="21600,21600" o:gfxdata="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lSAXH2AAAAAkBAAAPAAAAAAAA&#10;AAEAIAAAACIAAABkcnMvZG93bnJldi54bWxQSwECFAAUAAAACACHTuJAlt3xAdkBAACfAwAADgAA&#10;AAAAAAABACAAAAAnAQAAZHJzL2Uyb0RvYy54bWxQSwUGAAAAAAYABgBZAQAAcgUAAAAA&#10;">
                <v:fill on="f" focussize="0,0"/>
                <v:stroke color="#000000" joinstyle="round" endarrow="block"/>
                <v:imagedata o:title=""/>
                <o:lock v:ext="edit" aspectratio="f"/>
              </v:shape>
            </w:pict>
          </mc:Fallback>
        </mc:AlternateContent>
      </w:r>
      <w:r>
        <w:rPr>
          <w:rFonts w:hint="eastAsia" w:ascii="华文楷体" w:hAnsi="华文楷体" w:eastAsia="华文楷体"/>
          <w:sz w:val="24"/>
        </w:rPr>
        <w:t xml:space="preserve">                                  </w:t>
      </w:r>
    </w:p>
    <w:p>
      <w:pPr>
        <w:spacing w:line="240" w:lineRule="exact"/>
        <w:ind w:firstLine="4320" w:firstLineChars="1800"/>
        <w:rPr>
          <w:rFonts w:ascii="华文楷体" w:hAnsi="华文楷体" w:eastAsia="华文楷体"/>
          <w:szCs w:val="21"/>
        </w:rPr>
      </w:pPr>
      <w:r>
        <w:rPr>
          <w:rFonts w:ascii="华文楷体" w:hAnsi="华文楷体" w:eastAsia="华文楷体"/>
          <w:sz w:val="24"/>
        </w:rPr>
        <mc:AlternateContent>
          <mc:Choice Requires="wps">
            <w:drawing>
              <wp:anchor distT="0" distB="0" distL="114300" distR="114300" simplePos="0" relativeHeight="251674624" behindDoc="0" locked="0" layoutInCell="1" allowOverlap="1">
                <wp:simplePos x="0" y="0"/>
                <wp:positionH relativeFrom="column">
                  <wp:posOffset>2619375</wp:posOffset>
                </wp:positionH>
                <wp:positionV relativeFrom="paragraph">
                  <wp:posOffset>59690</wp:posOffset>
                </wp:positionV>
                <wp:extent cx="76200" cy="662305"/>
                <wp:effectExtent l="9525" t="10795" r="9525" b="12700"/>
                <wp:wrapNone/>
                <wp:docPr id="8" name="AutoShape 7"/>
                <wp:cNvGraphicFramePr/>
                <a:graphic xmlns:a="http://schemas.openxmlformats.org/drawingml/2006/main">
                  <a:graphicData uri="http://schemas.microsoft.com/office/word/2010/wordprocessingShape">
                    <wps:wsp>
                      <wps:cNvSpPr/>
                      <wps:spPr bwMode="auto">
                        <a:xfrm>
                          <a:off x="0" y="0"/>
                          <a:ext cx="76200" cy="662305"/>
                        </a:xfrm>
                        <a:prstGeom prst="leftBrace">
                          <a:avLst>
                            <a:gd name="adj1" fmla="val 72431"/>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7" o:spid="_x0000_s1026" o:spt="87" type="#_x0000_t87" style="position:absolute;left:0pt;margin-left:206.25pt;margin-top:4.7pt;height:52.15pt;width:6pt;z-index:251674624;mso-width-relative:page;mso-height-relative:page;" filled="f" stroked="t" coordsize="21600,21600" o:gfxdata="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q+4M/ZAAAACQEAAA8AAAAAAAAAAQAgAAAA&#10;IgAAAGRycy9kb3ducmV2LnhtbFBLAQIUABQAAAAIAIdO4kASx/eDCgIAABIEAAAOAAAAAAAAAAEA&#10;IAAAACgBAABkcnMvZTJvRG9jLnhtbFBLBQYAAAAABgAGAFkBAACkBQAAAAA=&#10;" adj="1800,10800">
                <v:fill on="f" focussize="0,0"/>
                <v:stroke color="#000000" joinstyle="round"/>
                <v:imagedata o:title=""/>
                <o:lock v:ext="edit" aspectratio="f"/>
              </v:shape>
            </w:pict>
          </mc:Fallback>
        </mc:AlternateContent>
      </w:r>
      <w:r>
        <w:rPr>
          <w:rFonts w:hint="eastAsia" w:ascii="华文楷体" w:hAnsi="华文楷体" w:eastAsia="华文楷体"/>
          <w:szCs w:val="21"/>
        </w:rPr>
        <w:t>1.按项目分类归属各直管部门；</w:t>
      </w:r>
    </w:p>
    <w:p>
      <w:pPr>
        <w:spacing w:line="240" w:lineRule="exact"/>
        <w:ind w:left="4799" w:leftChars="228" w:hanging="4320" w:hangingChars="1800"/>
        <w:rPr>
          <w:rFonts w:ascii="华文楷体" w:hAnsi="华文楷体" w:eastAsia="华文楷体"/>
          <w:szCs w:val="21"/>
        </w:rPr>
      </w:pPr>
      <w:r>
        <w:rPr>
          <w:rFonts w:hint="eastAsia" w:ascii="华文楷体" w:hAnsi="华文楷体" w:eastAsia="华文楷体"/>
          <w:sz w:val="24"/>
        </w:rPr>
        <w:t xml:space="preserve">                     </w:t>
      </w:r>
      <w:r>
        <w:rPr>
          <w:rFonts w:hint="eastAsia" w:ascii="华文楷体" w:hAnsi="华文楷体" w:eastAsia="华文楷体"/>
          <w:szCs w:val="21"/>
        </w:rPr>
        <w:t xml:space="preserve">             2.直管部门对所属项目实施过程监督指导；</w:t>
      </w:r>
    </w:p>
    <w:p>
      <w:pPr>
        <w:spacing w:line="240" w:lineRule="exact"/>
        <w:ind w:left="4318" w:leftChars="456" w:hanging="3360" w:hangingChars="1400"/>
        <w:rPr>
          <w:rFonts w:ascii="华文楷体" w:hAnsi="华文楷体" w:eastAsia="华文楷体"/>
          <w:szCs w:val="21"/>
        </w:rPr>
      </w:pPr>
      <w:r>
        <w:rPr>
          <w:rFonts w:ascii="华文楷体" w:hAnsi="华文楷体" w:eastAsia="华文楷体"/>
          <w:sz w:val="24"/>
        </w:rPr>
        <mc:AlternateContent>
          <mc:Choice Requires="wps">
            <w:drawing>
              <wp:anchor distT="0" distB="0" distL="114300" distR="114300" simplePos="0" relativeHeight="251675648" behindDoc="0" locked="0" layoutInCell="1" allowOverlap="1">
                <wp:simplePos x="0" y="0"/>
                <wp:positionH relativeFrom="column">
                  <wp:posOffset>1534160</wp:posOffset>
                </wp:positionH>
                <wp:positionV relativeFrom="paragraph">
                  <wp:posOffset>104140</wp:posOffset>
                </wp:positionV>
                <wp:extent cx="84455" cy="575945"/>
                <wp:effectExtent l="10160" t="7620" r="10160" b="6985"/>
                <wp:wrapNone/>
                <wp:docPr id="7" name="AutoShape 8"/>
                <wp:cNvGraphicFramePr/>
                <a:graphic xmlns:a="http://schemas.openxmlformats.org/drawingml/2006/main">
                  <a:graphicData uri="http://schemas.microsoft.com/office/word/2010/wordprocessingShape">
                    <wps:wsp>
                      <wps:cNvSpPr/>
                      <wps:spPr bwMode="auto">
                        <a:xfrm>
                          <a:off x="0" y="0"/>
                          <a:ext cx="84455" cy="575945"/>
                        </a:xfrm>
                        <a:prstGeom prst="leftBrace">
                          <a:avLst>
                            <a:gd name="adj1" fmla="val 56830"/>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8" o:spid="_x0000_s1026" o:spt="87" type="#_x0000_t87" style="position:absolute;left:0pt;margin-left:120.8pt;margin-top:8.2pt;height:45.35pt;width:6.65pt;z-index:251675648;mso-width-relative:page;mso-height-relative:page;" filled="f" stroked="t" coordsize="21600,21600" o:gfxdata="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PGlR2gAAAAoBAAAPAAAAAAAAAAEAIAAA&#10;ACIAAABkcnMvZG93bnJldi54bWxQSwECFAAUAAAACACHTuJAHj57sQoCAAASBAAADgAAAAAAAAAB&#10;ACAAAAApAQAAZHJzL2Uyb0RvYy54bWxQSwUGAAAAAAYABgBZAQAApQUAAAAA&#10;" adj="1800,10800">
                <v:fill on="f" focussize="0,0"/>
                <v:stroke color="#000000" joinstyle="round"/>
                <v:imagedata o:title=""/>
                <o:lock v:ext="edit" aspectratio="f"/>
              </v:shape>
            </w:pict>
          </mc:Fallback>
        </mc:AlternateContent>
      </w:r>
      <w:r>
        <w:rPr>
          <w:rFonts w:ascii="华文楷体" w:hAnsi="华文楷体" w:eastAsia="华文楷体"/>
          <w:szCs w:val="21"/>
        </w:rPr>
        <mc:AlternateContent>
          <mc:Choice Requires="wps">
            <w:drawing>
              <wp:anchor distT="0" distB="0" distL="114300" distR="114300" simplePos="0" relativeHeight="251671552" behindDoc="0" locked="0" layoutInCell="1" allowOverlap="1">
                <wp:simplePos x="0" y="0"/>
                <wp:positionH relativeFrom="column">
                  <wp:posOffset>450850</wp:posOffset>
                </wp:positionH>
                <wp:positionV relativeFrom="paragraph">
                  <wp:posOffset>198120</wp:posOffset>
                </wp:positionV>
                <wp:extent cx="820420" cy="299085"/>
                <wp:effectExtent l="6350" t="13970" r="11430" b="1079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820420" cy="299085"/>
                        </a:xfrm>
                        <a:prstGeom prst="rect">
                          <a:avLst/>
                        </a:prstGeom>
                        <a:solidFill>
                          <a:srgbClr val="FFFFFF"/>
                        </a:solidFill>
                        <a:ln w="9525">
                          <a:solidFill>
                            <a:srgbClr val="000000"/>
                          </a:solidFill>
                          <a:miter lim="800000"/>
                        </a:ln>
                      </wps:spPr>
                      <wps:txbx>
                        <w:txbxContent>
                          <w:p>
                            <w:pPr>
                              <w:jc w:val="center"/>
                              <w:rPr>
                                <w:rFonts w:ascii="楷体_GB2312" w:eastAsia="楷体_GB2312"/>
                              </w:rPr>
                            </w:pPr>
                            <w:r>
                              <w:rPr>
                                <w:rFonts w:hint="eastAsia" w:ascii="楷体_GB2312" w:eastAsia="楷体_GB2312"/>
                              </w:rPr>
                              <w:t xml:space="preserve">项目实施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4" o:spid="_x0000_s1026" o:spt="202" type="#_x0000_t202" style="position:absolute;left:0pt;margin-left:35.5pt;margin-top:15.6pt;height:23.55pt;width:64.6pt;z-index:251671552;mso-width-relative:page;mso-height-relative:margin;mso-height-percent:200;" fillcolor="#FFFFFF" filled="t" stroked="t" coordsize="21600,21600" o:gfxdata="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3Mev91AAAAAgBAAAPAAAAAAAAAAEAIAAA&#10;ACIAAABkcnMvZG93bnJldi54bWxQSwECFAAUAAAACACHTuJAxAui4hACAAA3BAAADgAAAAAAAAAB&#10;ACAAAAAjAQAAZHJzL2Uyb0RvYy54bWxQSwUGAAAAAAYABgBZAQAApQUAAAAA&#10;">
                <v:fill on="t" focussize="0,0"/>
                <v:stroke color="#000000" miterlimit="8" joinstyle="miter"/>
                <v:imagedata o:title=""/>
                <o:lock v:ext="edit" aspectratio="f"/>
                <v:textbox style="mso-fit-shape-to-text:t;">
                  <w:txbxContent>
                    <w:p>
                      <w:pPr>
                        <w:jc w:val="center"/>
                        <w:rPr>
                          <w:rFonts w:ascii="楷体_GB2312" w:eastAsia="楷体_GB2312"/>
                        </w:rPr>
                      </w:pPr>
                      <w:r>
                        <w:rPr>
                          <w:rFonts w:hint="eastAsia" w:ascii="楷体_GB2312" w:eastAsia="楷体_GB2312"/>
                        </w:rPr>
                        <w:t xml:space="preserve">项目实施       </w:t>
                      </w:r>
                    </w:p>
                  </w:txbxContent>
                </v:textbox>
              </v:shape>
            </w:pict>
          </mc:Fallback>
        </mc:AlternateContent>
      </w:r>
      <w:r>
        <w:rPr>
          <w:rFonts w:hint="eastAsia" w:ascii="华文楷体" w:hAnsi="华文楷体" w:eastAsia="华文楷体"/>
          <w:szCs w:val="21"/>
        </w:rPr>
        <w:t xml:space="preserve">                项目的分类管理  3.所属项目在实施过程中，项目组应与直管部门进行协调沟通；</w:t>
      </w:r>
    </w:p>
    <w:p>
      <w:pPr>
        <w:spacing w:line="240" w:lineRule="exact"/>
        <w:ind w:left="4656" w:leftChars="267" w:hanging="4095" w:hangingChars="1950"/>
        <w:rPr>
          <w:rFonts w:ascii="华文楷体" w:hAnsi="华文楷体" w:eastAsia="华文楷体"/>
          <w:szCs w:val="21"/>
        </w:rPr>
      </w:pPr>
      <w:r>
        <w:rPr>
          <w:rFonts w:hint="eastAsia" w:ascii="华文楷体" w:hAnsi="华文楷体" w:eastAsia="华文楷体"/>
          <w:szCs w:val="21"/>
        </w:rPr>
        <w:t xml:space="preserve">                                    4.项目实施过程中应有阶段性报告；</w:t>
      </w:r>
    </w:p>
    <w:p>
      <w:pPr>
        <w:spacing w:line="240" w:lineRule="exact"/>
        <w:ind w:left="4679" w:leftChars="228" w:hanging="4200" w:hangingChars="2000"/>
        <w:rPr>
          <w:rFonts w:ascii="华文楷体" w:hAnsi="华文楷体" w:eastAsia="华文楷体"/>
          <w:szCs w:val="21"/>
        </w:rPr>
      </w:pPr>
      <w:r>
        <w:rPr>
          <w:rFonts w:hint="eastAsia" w:ascii="华文楷体" w:hAnsi="华文楷体" w:eastAsia="华文楷体"/>
          <w:szCs w:val="21"/>
        </w:rPr>
        <w:t xml:space="preserve">                     项目实施过程性资料的收集与整理</w:t>
      </w:r>
    </w:p>
    <w:p>
      <w:pPr>
        <w:spacing w:line="240" w:lineRule="exact"/>
        <w:ind w:left="2625" w:leftChars="1250"/>
        <w:rPr>
          <w:rFonts w:ascii="华文楷体" w:hAnsi="华文楷体" w:eastAsia="华文楷体"/>
          <w:szCs w:val="21"/>
        </w:rPr>
      </w:pPr>
      <w:r>
        <w:rPr>
          <w:rFonts w:ascii="华文楷体" w:hAnsi="华文楷体" w:eastAsia="华文楷体"/>
          <w:szCs w:val="21"/>
        </w:rPr>
        <mc:AlternateContent>
          <mc:Choice Requires="wps">
            <w:drawing>
              <wp:anchor distT="0" distB="0" distL="114300" distR="114300" simplePos="0" relativeHeight="251679744" behindDoc="0" locked="0" layoutInCell="1" allowOverlap="1">
                <wp:simplePos x="0" y="0"/>
                <wp:positionH relativeFrom="column">
                  <wp:posOffset>842645</wp:posOffset>
                </wp:positionH>
                <wp:positionV relativeFrom="paragraph">
                  <wp:posOffset>70485</wp:posOffset>
                </wp:positionV>
                <wp:extent cx="635" cy="411480"/>
                <wp:effectExtent l="52070" t="12065" r="61595" b="14605"/>
                <wp:wrapNone/>
                <wp:docPr id="4" name="AutoShape 12"/>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9525">
                          <a:solidFill>
                            <a:srgbClr val="000000"/>
                          </a:solidFill>
                          <a:round/>
                          <a:tailEnd type="triangle" w="med" len="med"/>
                        </a:ln>
                      </wps:spPr>
                      <wps:bodyPr/>
                    </wps:wsp>
                  </a:graphicData>
                </a:graphic>
              </wp:anchor>
            </w:drawing>
          </mc:Choice>
          <mc:Fallback>
            <w:pict>
              <v:shape id="AutoShape 12" o:spid="_x0000_s1026" o:spt="32" type="#_x0000_t32" style="position:absolute;left:0pt;margin-left:66.35pt;margin-top:5.55pt;height:32.4pt;width:0.05pt;z-index:251679744;mso-width-relative:page;mso-height-relative:page;" filled="f" stroked="t" coordsize="21600,21600" o:gfxdata="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pLxgHYAAAACQEAAA8AAAAAAAAA&#10;AQAgAAAAIgAAAGRycy9kb3ducmV2LnhtbFBLAQIUABQAAAAIAIdO4kAxdSyD2AEAAJQDAAAOAAAA&#10;AAAAAAEAIAAAACcBAABkcnMvZTJvRG9jLnhtbFBLBQYAAAAABgAGAFkBAABxBQAAAAA=&#10;">
                <v:fill on="f" focussize="0,0"/>
                <v:stroke color="#000000" joinstyle="round" endarrow="block"/>
                <v:imagedata o:title=""/>
                <o:lock v:ext="edit" aspectratio="f"/>
              </v:shape>
            </w:pict>
          </mc:Fallback>
        </mc:AlternateContent>
      </w:r>
      <w:r>
        <w:rPr>
          <w:rFonts w:hint="eastAsia" w:ascii="华文楷体" w:hAnsi="华文楷体" w:eastAsia="华文楷体"/>
          <w:szCs w:val="21"/>
        </w:rPr>
        <w:t>项目实施的阶段性评估（直管部门组织评估小组对项目的实施进程进行阶段性评估）</w:t>
      </w:r>
    </w:p>
    <w:p>
      <w:pPr>
        <w:spacing w:line="240" w:lineRule="exact"/>
        <w:ind w:left="2625" w:leftChars="1250"/>
        <w:rPr>
          <w:rFonts w:ascii="华文楷体" w:hAnsi="华文楷体" w:eastAsia="华文楷体"/>
          <w:szCs w:val="21"/>
        </w:rPr>
      </w:pPr>
    </w:p>
    <w:p>
      <w:pPr>
        <w:spacing w:line="240" w:lineRule="exact"/>
        <w:ind w:firstLine="2625" w:firstLineChars="1250"/>
        <w:rPr>
          <w:rFonts w:ascii="华文楷体" w:hAnsi="华文楷体" w:eastAsia="华文楷体"/>
          <w:szCs w:val="21"/>
        </w:rPr>
      </w:pPr>
      <w:r>
        <w:rPr>
          <w:rFonts w:ascii="华文楷体" w:hAnsi="华文楷体" w:eastAsia="华文楷体"/>
          <w:szCs w:val="21"/>
        </w:rPr>
        <mc:AlternateContent>
          <mc:Choice Requires="wps">
            <w:drawing>
              <wp:anchor distT="0" distB="0" distL="114300" distR="114300" simplePos="0" relativeHeight="251676672" behindDoc="0" locked="0" layoutInCell="1" allowOverlap="1">
                <wp:simplePos x="0" y="0"/>
                <wp:positionH relativeFrom="column">
                  <wp:posOffset>1554480</wp:posOffset>
                </wp:positionH>
                <wp:positionV relativeFrom="paragraph">
                  <wp:posOffset>24765</wp:posOffset>
                </wp:positionV>
                <wp:extent cx="95885" cy="587375"/>
                <wp:effectExtent l="11430" t="13970" r="6985" b="8255"/>
                <wp:wrapNone/>
                <wp:docPr id="3" name="AutoShape 9"/>
                <wp:cNvGraphicFramePr/>
                <a:graphic xmlns:a="http://schemas.openxmlformats.org/drawingml/2006/main">
                  <a:graphicData uri="http://schemas.microsoft.com/office/word/2010/wordprocessingShape">
                    <wps:wsp>
                      <wps:cNvSpPr/>
                      <wps:spPr bwMode="auto">
                        <a:xfrm>
                          <a:off x="0" y="0"/>
                          <a:ext cx="95885" cy="587375"/>
                        </a:xfrm>
                        <a:prstGeom prst="leftBrace">
                          <a:avLst>
                            <a:gd name="adj1" fmla="val 51049"/>
                            <a:gd name="adj2" fmla="val 50000"/>
                          </a:avLst>
                        </a:prstGeom>
                        <a:noFill/>
                        <a:ln w="9525">
                          <a:solidFill>
                            <a:srgbClr val="000000"/>
                          </a:solidFill>
                          <a:round/>
                        </a:ln>
                      </wps:spPr>
                      <wps:bodyPr rot="0" vert="horz" wrap="square" lIns="91440" tIns="45720" rIns="91440" bIns="45720" anchor="t" anchorCtr="0" upright="1">
                        <a:noAutofit/>
                      </wps:bodyPr>
                    </wps:wsp>
                  </a:graphicData>
                </a:graphic>
              </wp:anchor>
            </w:drawing>
          </mc:Choice>
          <mc:Fallback>
            <w:pict>
              <v:shape id="AutoShape 9" o:spid="_x0000_s1026" o:spt="87" type="#_x0000_t87" style="position:absolute;left:0pt;margin-left:122.4pt;margin-top:1.95pt;height:46.25pt;width:7.55pt;z-index:251676672;mso-width-relative:page;mso-height-relative:page;" filled="f" stroked="t" coordsize="21600,21600" o:gfxdata="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GTtZtoAAAAIAQAADwAAAAAAAAABACAA&#10;AAAiAAAAZHJzL2Rvd25yZXYueG1sUEsBAhQAFAAAAAgAh07iQCShUl8LAgAAEgQAAA4AAAAAAAAA&#10;AQAgAAAAKQEAAGRycy9lMm9Eb2MueG1sUEsFBgAAAAAGAAYAWQEAAKYFAAAAAA==&#10;" adj="1800,10800">
                <v:fill on="f" focussize="0,0"/>
                <v:stroke color="#000000" joinstyle="round"/>
                <v:imagedata o:title=""/>
                <o:lock v:ext="edit" aspectratio="f"/>
              </v:shape>
            </w:pict>
          </mc:Fallback>
        </mc:AlternateContent>
      </w:r>
      <w:r>
        <w:rPr>
          <w:rFonts w:ascii="华文楷体" w:hAnsi="华文楷体" w:eastAsia="华文楷体"/>
          <w:szCs w:val="21"/>
        </w:rPr>
        <mc:AlternateContent>
          <mc:Choice Requires="wps">
            <w:drawing>
              <wp:anchor distT="0" distB="0" distL="114300" distR="114300" simplePos="0" relativeHeight="251672576" behindDoc="0" locked="0" layoutInCell="1" allowOverlap="1">
                <wp:simplePos x="0" y="0"/>
                <wp:positionH relativeFrom="column">
                  <wp:posOffset>185420</wp:posOffset>
                </wp:positionH>
                <wp:positionV relativeFrom="paragraph">
                  <wp:posOffset>121285</wp:posOffset>
                </wp:positionV>
                <wp:extent cx="1348740" cy="368935"/>
                <wp:effectExtent l="13970" t="5715" r="8890" b="6350"/>
                <wp:wrapNone/>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1348740" cy="368935"/>
                        </a:xfrm>
                        <a:prstGeom prst="rect">
                          <a:avLst/>
                        </a:prstGeom>
                        <a:solidFill>
                          <a:srgbClr val="FFFFFF"/>
                        </a:solidFill>
                        <a:ln w="9525">
                          <a:solidFill>
                            <a:srgbClr val="000000"/>
                          </a:solidFill>
                          <a:miter lim="800000"/>
                        </a:ln>
                      </wps:spPr>
                      <wps:txbx>
                        <w:txbxContent>
                          <w:p>
                            <w:pPr>
                              <w:rPr>
                                <w:rFonts w:ascii="楷体_GB2312" w:eastAsia="楷体_GB2312"/>
                              </w:rPr>
                            </w:pPr>
                            <w:r>
                              <w:rPr>
                                <w:rFonts w:hint="eastAsia" w:ascii="楷体_GB2312" w:eastAsia="楷体_GB2312"/>
                              </w:rPr>
                              <w:t>项目实施总结性评估</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14.6pt;margin-top:9.55pt;height:29.05pt;width:106.2pt;z-index:251672576;mso-width-relative:page;mso-height-relative:page;" fillcolor="#FFFFFF" filled="t" stroked="t" coordsize="21600,21600" o:gfxdata="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UTRxtgAAAAIAQAADwAAAAAA&#10;AAABACAAAAAiAAAAZHJzL2Rvd25yZXYueG1sUEsBAhQAFAAAAAgAh07iQJp1fQATAgAAOAQAAA4A&#10;AAAAAAAAAQAgAAAAJwEAAGRycy9lMm9Eb2MueG1sUEsFBgAAAAAGAAYAWQEAAKwFAAAAAA==&#10;">
                <v:fill on="t" focussize="0,0"/>
                <v:stroke color="#000000" miterlimit="8" joinstyle="miter"/>
                <v:imagedata o:title=""/>
                <o:lock v:ext="edit" aspectratio="f"/>
                <v:textbox>
                  <w:txbxContent>
                    <w:p>
                      <w:pPr>
                        <w:rPr>
                          <w:rFonts w:ascii="楷体_GB2312" w:eastAsia="楷体_GB2312"/>
                        </w:rPr>
                      </w:pPr>
                      <w:r>
                        <w:rPr>
                          <w:rFonts w:hint="eastAsia" w:ascii="楷体_GB2312" w:eastAsia="楷体_GB2312"/>
                        </w:rPr>
                        <w:t>项目实施总结性评估</w:t>
                      </w:r>
                    </w:p>
                  </w:txbxContent>
                </v:textbox>
              </v:shape>
            </w:pict>
          </mc:Fallback>
        </mc:AlternateContent>
      </w:r>
      <w:r>
        <w:rPr>
          <w:rFonts w:hint="eastAsia" w:ascii="华文楷体" w:hAnsi="华文楷体" w:eastAsia="华文楷体"/>
          <w:szCs w:val="21"/>
        </w:rPr>
        <w:t>项目完成后，提出总结性评估申请；</w:t>
      </w:r>
    </w:p>
    <w:p>
      <w:pPr>
        <w:spacing w:line="240" w:lineRule="exact"/>
        <w:ind w:firstLine="2625" w:firstLineChars="1250"/>
        <w:rPr>
          <w:rFonts w:ascii="华文楷体" w:hAnsi="华文楷体" w:eastAsia="华文楷体"/>
          <w:szCs w:val="21"/>
        </w:rPr>
      </w:pPr>
      <w:r>
        <w:rPr>
          <w:rFonts w:hint="eastAsia" w:ascii="华文楷体" w:hAnsi="华文楷体" w:eastAsia="华文楷体"/>
          <w:szCs w:val="21"/>
        </w:rPr>
        <w:t>收集资料归档，完成总结性报告；</w:t>
      </w:r>
    </w:p>
    <w:p>
      <w:pPr>
        <w:spacing w:line="240" w:lineRule="exact"/>
        <w:ind w:firstLine="420" w:firstLineChars="200"/>
        <w:rPr>
          <w:rFonts w:ascii="华文楷体" w:hAnsi="华文楷体" w:eastAsia="华文楷体"/>
          <w:szCs w:val="21"/>
        </w:rPr>
      </w:pPr>
      <w:r>
        <w:rPr>
          <w:rFonts w:hint="eastAsia" w:ascii="华文楷体" w:hAnsi="华文楷体" w:eastAsia="华文楷体"/>
          <w:szCs w:val="21"/>
        </w:rPr>
        <w:t xml:space="preserve">                     学校组织评估小组对项目实施结果进行总结性评估；</w:t>
      </w:r>
    </w:p>
    <w:p>
      <w:pPr>
        <w:spacing w:line="240" w:lineRule="exact"/>
        <w:ind w:firstLine="2625" w:firstLineChars="1250"/>
        <w:rPr>
          <w:rFonts w:ascii="楷体_GB2312" w:hAnsi="楷体" w:eastAsia="楷体_GB2312"/>
          <w:sz w:val="28"/>
          <w:szCs w:val="28"/>
        </w:rPr>
      </w:pPr>
      <w:r>
        <w:rPr>
          <w:rFonts w:hint="eastAsia" w:ascii="华文楷体" w:hAnsi="华文楷体" w:eastAsia="华文楷体"/>
          <w:szCs w:val="21"/>
        </w:rPr>
        <w:t>根据项目评估结果可申报年终绩效考核特殊贡献奖的相关等级；</w:t>
      </w:r>
    </w:p>
    <w:p>
      <w:pPr>
        <w:ind w:firstLine="555"/>
        <w:rPr>
          <w:rFonts w:ascii="楷体_GB2312" w:eastAsia="楷体_GB2312" w:hAnsiTheme="minorEastAsia"/>
          <w:b/>
          <w:sz w:val="28"/>
          <w:szCs w:val="28"/>
        </w:rPr>
      </w:pPr>
      <w:r>
        <w:rPr>
          <w:rFonts w:hint="eastAsia" w:ascii="楷体_GB2312" w:hAnsi="楷体" w:eastAsia="楷体_GB2312"/>
          <w:sz w:val="28"/>
          <w:szCs w:val="28"/>
        </w:rPr>
        <w:t>自从项目管理办法实施，学校教师内在的工作动机得以激发，教师的优势需求得以满足，这从根本上调动了教师工作的积极性。</w:t>
      </w:r>
    </w:p>
    <w:p>
      <w:pPr>
        <w:widowControl/>
        <w:spacing w:line="520" w:lineRule="exact"/>
        <w:ind w:firstLine="562" w:firstLineChars="200"/>
        <w:rPr>
          <w:rFonts w:ascii="楷体_GB2312" w:eastAsia="楷体_GB2312" w:cs="宋体"/>
          <w:b/>
          <w:bCs/>
          <w:color w:val="000000"/>
          <w:kern w:val="0"/>
          <w:sz w:val="28"/>
          <w:szCs w:val="28"/>
        </w:rPr>
      </w:pPr>
      <w:r>
        <w:rPr>
          <w:rFonts w:hint="eastAsia" w:ascii="楷体_GB2312" w:hAnsi="宋体" w:eastAsia="楷体_GB2312" w:cs="宋体"/>
          <w:b/>
          <w:bCs/>
          <w:color w:val="000000"/>
          <w:kern w:val="0"/>
          <w:sz w:val="28"/>
          <w:szCs w:val="28"/>
        </w:rPr>
        <w:t>2.</w:t>
      </w:r>
      <w:r>
        <w:rPr>
          <w:rFonts w:hint="eastAsia" w:ascii="楷体_GB2312" w:eastAsia="楷体_GB2312"/>
          <w:b/>
          <w:bCs/>
          <w:color w:val="000000"/>
          <w:sz w:val="28"/>
          <w:szCs w:val="28"/>
        </w:rPr>
        <w:t>构建敬业、合作的教师团队</w:t>
      </w:r>
    </w:p>
    <w:p>
      <w:pPr>
        <w:widowControl/>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工作目标：</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把握教师专业发展的基本特征，分析教师专业发展的内在机制，优化教研组功能，提升教师专业化发展的水平，教师制定个人发展三年规划，帮助每位教师找准自己的发展点，努力建设一支教学思想先进，教学手段丰富，教学质量提高，具有坚实的学科基础和学科知识之外的综合专业素质的高质量的教师队伍。</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骨干教师：会研究、会指导、组织人。有明确的校、区以上科研课题研究项目，能带领组员共同探讨；有良好的学科知识，进行各种教学研究，有较强的教学能力。</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合格教师：参与研究，善于合作。能参与科研课题的研究，每学期有经验总结；理解和实施课程标准；能运用适当的教学手段展开教学，取得较好的教学效果。</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新教师：学会研究，努力领会。积极参与教研组各项教育教学研究活动；掌握教育教学的一般规律；独立完成教学任务。</w:t>
      </w:r>
    </w:p>
    <w:p>
      <w:pPr>
        <w:widowControl/>
        <w:spacing w:line="520" w:lineRule="exact"/>
        <w:ind w:firstLine="562" w:firstLineChars="200"/>
        <w:rPr>
          <w:rFonts w:ascii="楷体_GB2312" w:eastAsia="楷体_GB2312" w:cs="宋体"/>
          <w:b/>
          <w:color w:val="000000"/>
          <w:kern w:val="0"/>
          <w:sz w:val="28"/>
          <w:szCs w:val="28"/>
        </w:rPr>
      </w:pPr>
      <w:r>
        <w:rPr>
          <w:rFonts w:hint="eastAsia" w:ascii="楷体_GB2312" w:hAnsi="宋体" w:eastAsia="楷体_GB2312" w:cs="宋体"/>
          <w:b/>
          <w:color w:val="000000"/>
          <w:kern w:val="0"/>
          <w:sz w:val="28"/>
          <w:szCs w:val="28"/>
        </w:rPr>
        <w:t>途径与方法：</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每学期按主题，聘请市、区的专家定期为教师做辅导讲座，并下年级蹲点指导，共同探讨教育教学策略。</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主题性的学习，从学校发展的实际出发，针对学校教育教学工作中存在的突出问题、倾向性问题、难点问题组织专题性的学习和研讨活动，不断把学习研讨和转变观念的活动引向深入。</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创设全新教师学习的形式，除了学校安排的集体讲座以外，在更多的学习时间里，采用的是工作坊的形式，在工作坊里，按一定的主题，每一个人都可以发表想法，谈论困惑，探讨策略，剖析案例，分享经验。</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推行以点带面为主的指导，即以教研组或备课组为单位，进行听课、评课，以及设计等方面的指导培养，发现共性问题，集体研讨解决，加强组内互动互督作用。</w:t>
      </w:r>
    </w:p>
    <w:p>
      <w:pPr>
        <w:widowControl/>
        <w:spacing w:line="520" w:lineRule="exact"/>
        <w:ind w:firstLine="560" w:firstLineChars="200"/>
        <w:rPr>
          <w:rFonts w:ascii="楷体_GB2312" w:eastAsia="楷体_GB2312" w:cs="宋体"/>
          <w:color w:val="000000"/>
          <w:kern w:val="0"/>
          <w:sz w:val="28"/>
          <w:szCs w:val="28"/>
        </w:rPr>
      </w:pPr>
      <w:r>
        <w:rPr>
          <w:rFonts w:hint="eastAsia" w:ascii="楷体_GB2312" w:hAnsi="宋体" w:eastAsia="楷体_GB2312" w:cs="宋体"/>
          <w:color w:val="000000"/>
          <w:kern w:val="0"/>
          <w:sz w:val="28"/>
          <w:szCs w:val="28"/>
        </w:rPr>
        <w:t>倡导合作探究，教学研究强调群体合作，实现经验分享，推行“滚动式”带教，将原实践中的成功经验和教训进行传授、评析，提高现有分析的思考深度，并完善二年级教学的经验积累，提炼上升成理念、原则等。</w:t>
      </w:r>
    </w:p>
    <w:p>
      <w:pPr>
        <w:widowControl/>
        <w:spacing w:line="520" w:lineRule="exact"/>
        <w:ind w:firstLine="551" w:firstLineChars="196"/>
        <w:rPr>
          <w:rFonts w:ascii="楷体_GB2312" w:eastAsia="楷体_GB2312" w:cs="宋体"/>
          <w:b/>
          <w:bCs/>
          <w:color w:val="000000"/>
          <w:kern w:val="0"/>
          <w:sz w:val="28"/>
          <w:szCs w:val="28"/>
        </w:rPr>
      </w:pPr>
      <w:r>
        <w:rPr>
          <w:rFonts w:hint="eastAsia" w:ascii="楷体_GB2312" w:hAnsi="宋体" w:eastAsia="楷体_GB2312" w:cs="宋体"/>
          <w:b/>
          <w:bCs/>
          <w:color w:val="000000"/>
          <w:kern w:val="0"/>
          <w:sz w:val="28"/>
          <w:szCs w:val="28"/>
        </w:rPr>
        <w:t>3.改革后勤常规管理，做到精细化</w:t>
      </w:r>
    </w:p>
    <w:p>
      <w:pPr>
        <w:widowControl/>
        <w:spacing w:line="520" w:lineRule="exact"/>
        <w:ind w:firstLine="560" w:firstLineChars="200"/>
        <w:rPr>
          <w:rFonts w:ascii="楷体_GB2312" w:eastAsia="楷体_GB2312" w:cs="宋体"/>
          <w:b/>
          <w:bCs/>
          <w:color w:val="000000"/>
          <w:kern w:val="0"/>
          <w:sz w:val="28"/>
          <w:szCs w:val="28"/>
        </w:rPr>
      </w:pPr>
      <w:r>
        <w:rPr>
          <w:rFonts w:hint="eastAsia" w:ascii="楷体_GB2312" w:eastAsia="楷体_GB2312"/>
          <w:color w:val="000000"/>
          <w:sz w:val="28"/>
          <w:szCs w:val="28"/>
        </w:rPr>
        <w:t>以教育教学为中心，坚持“以人为本，服务育人”方针，做到依法治校、勤俭办学、保障有力。</w:t>
      </w:r>
    </w:p>
    <w:p>
      <w:pPr>
        <w:spacing w:line="520" w:lineRule="exact"/>
        <w:ind w:firstLine="480"/>
        <w:rPr>
          <w:rFonts w:ascii="楷体_GB2312" w:eastAsia="楷体_GB2312"/>
          <w:color w:val="000000"/>
          <w:sz w:val="28"/>
          <w:szCs w:val="28"/>
        </w:rPr>
      </w:pPr>
      <w:r>
        <w:rPr>
          <w:rFonts w:hint="eastAsia" w:ascii="楷体_GB2312" w:hAnsi="宋体" w:eastAsia="楷体_GB2312"/>
          <w:b/>
          <w:color w:val="000000"/>
          <w:sz w:val="28"/>
          <w:szCs w:val="28"/>
        </w:rPr>
        <w:t>⑴安全工作责任落实到人，做到防患于未然。</w:t>
      </w:r>
      <w:r>
        <w:rPr>
          <w:rFonts w:hint="eastAsia" w:ascii="楷体_GB2312" w:hAnsi="宋体" w:eastAsia="楷体_GB2312"/>
          <w:color w:val="000000"/>
          <w:sz w:val="28"/>
          <w:szCs w:val="28"/>
        </w:rPr>
        <w:t xml:space="preserve">切实加强对学生进行安全知识，自护、自救常识等教育，提高学生的安全意识和自我保护能力，强化了三种意识：①安全第一的意识，全校教职工每时每刻都要注意学生人身安全，做到人人管，天天讲，月月查；②安全无小事意识，对学生发生的每一件事要多过问，多关照，不能袖手旁观，若无其事，麻木不仁，学生在校期间，教师是学生的监护人，务必把学生的人身安全放在十分重要的位置，让学生远离危险，远离伤害，切忌麻痹大意或心存侥幸，发生事故及时汇报；③安全工作超前思维意识，坚持预防为主，对事故隐患早发现，早排除，特别加强食堂管理，强化门卫管理工作，各位教师将安全工作的规定落到实处，确保了安全工作的万无一失。 </w:t>
      </w:r>
    </w:p>
    <w:p>
      <w:pPr>
        <w:spacing w:line="520" w:lineRule="exact"/>
        <w:ind w:firstLine="562" w:firstLineChars="200"/>
        <w:rPr>
          <w:rFonts w:ascii="楷体_GB2312" w:eastAsia="楷体_GB2312"/>
          <w:color w:val="000000"/>
          <w:sz w:val="28"/>
          <w:szCs w:val="28"/>
        </w:rPr>
      </w:pPr>
      <w:r>
        <w:rPr>
          <w:rFonts w:hint="eastAsia" w:ascii="楷体_GB2312" w:hAnsi="宋体" w:eastAsia="楷体_GB2312" w:cs="宋体"/>
          <w:b/>
          <w:color w:val="000000"/>
          <w:kern w:val="0"/>
          <w:sz w:val="28"/>
          <w:szCs w:val="28"/>
        </w:rPr>
        <w:t>⑵</w:t>
      </w:r>
      <w:r>
        <w:rPr>
          <w:rFonts w:hint="eastAsia" w:ascii="楷体_GB2312" w:eastAsia="楷体_GB2312"/>
          <w:b/>
          <w:color w:val="000000"/>
          <w:sz w:val="28"/>
          <w:szCs w:val="28"/>
        </w:rPr>
        <w:t>完善后勤管理体系，提高服务保障机能。</w:t>
      </w:r>
      <w:r>
        <w:rPr>
          <w:rFonts w:hint="eastAsia" w:ascii="楷体_GB2312" w:eastAsia="楷体_GB2312"/>
          <w:color w:val="000000"/>
          <w:sz w:val="28"/>
          <w:szCs w:val="28"/>
        </w:rPr>
        <w:t>建立学习型、专业型、服务型、创新型的后勤队伍。开源节流，全面实施勤俭办学，在管理和服务中渗透育人。初步形成成都蒙彼利埃小学特色的校园环境。</w:t>
      </w:r>
    </w:p>
    <w:p>
      <w:pPr>
        <w:spacing w:line="520" w:lineRule="exact"/>
        <w:ind w:firstLine="548" w:firstLineChars="196"/>
        <w:rPr>
          <w:rFonts w:ascii="楷体_GB2312" w:hAnsi="宋体" w:eastAsia="楷体_GB2312"/>
          <w:color w:val="000000"/>
          <w:sz w:val="28"/>
          <w:szCs w:val="28"/>
        </w:rPr>
      </w:pPr>
    </w:p>
    <w:p>
      <w:pPr>
        <w:spacing w:line="520" w:lineRule="exact"/>
        <w:ind w:firstLine="548" w:firstLineChars="196"/>
        <w:rPr>
          <w:rFonts w:ascii="楷体_GB2312" w:eastAsia="楷体_GB2312"/>
          <w:color w:val="000000"/>
          <w:sz w:val="28"/>
          <w:szCs w:val="28"/>
        </w:rPr>
      </w:pPr>
    </w:p>
    <w:p>
      <w:pPr>
        <w:spacing w:line="520" w:lineRule="exact"/>
        <w:rPr>
          <w:rFonts w:ascii="宋体"/>
          <w:color w:val="000000"/>
          <w:sz w:val="28"/>
          <w:szCs w:val="28"/>
        </w:rPr>
      </w:pPr>
      <w:r>
        <w:rPr>
          <w:rFonts w:hint="eastAsia" w:ascii="宋体"/>
          <w:color w:val="000000"/>
          <w:sz w:val="28"/>
          <w:szCs w:val="28"/>
        </w:rPr>
        <w:t>【</w:t>
      </w:r>
      <w:r>
        <w:rPr>
          <w:rFonts w:hint="eastAsia" w:ascii="黑体" w:hAnsi="宋体" w:eastAsia="黑体"/>
          <w:color w:val="000000"/>
          <w:sz w:val="28"/>
          <w:szCs w:val="28"/>
        </w:rPr>
        <w:t>保障措施</w:t>
      </w:r>
      <w:r>
        <w:rPr>
          <w:rFonts w:hint="eastAsia" w:ascii="宋体"/>
          <w:color w:val="000000"/>
          <w:sz w:val="28"/>
          <w:szCs w:val="28"/>
        </w:rPr>
        <w:t>】</w:t>
      </w:r>
    </w:p>
    <w:p>
      <w:pPr>
        <w:spacing w:line="520" w:lineRule="exact"/>
        <w:ind w:firstLine="560" w:firstLineChars="200"/>
        <w:rPr>
          <w:rFonts w:ascii="楷体_GB2312" w:eastAsia="楷体_GB2312"/>
          <w:color w:val="000000"/>
          <w:sz w:val="28"/>
          <w:szCs w:val="28"/>
        </w:rPr>
      </w:pPr>
      <w:r>
        <w:rPr>
          <w:rFonts w:hint="eastAsia" w:ascii="楷体_GB2312" w:eastAsia="楷体_GB2312"/>
          <w:color w:val="000000"/>
          <w:sz w:val="28"/>
          <w:szCs w:val="28"/>
        </w:rPr>
        <w:t>1.进一步完善学校管理结构，加强相关职能部门的管理；</w:t>
      </w:r>
    </w:p>
    <w:p>
      <w:pPr>
        <w:spacing w:line="520" w:lineRule="exact"/>
        <w:ind w:firstLine="560" w:firstLineChars="200"/>
        <w:rPr>
          <w:rFonts w:ascii="楷体_GB2312" w:eastAsia="楷体_GB2312"/>
          <w:color w:val="000000"/>
          <w:sz w:val="28"/>
          <w:szCs w:val="28"/>
        </w:rPr>
      </w:pPr>
      <w:r>
        <w:rPr>
          <w:rFonts w:hint="eastAsia" w:ascii="楷体_GB2312" w:eastAsia="楷体_GB2312"/>
          <w:color w:val="000000"/>
          <w:sz w:val="28"/>
          <w:szCs w:val="28"/>
        </w:rPr>
        <w:t>2.邀请各级教育教学专家组成“专家顾问团”，定期到校指导工作；</w:t>
      </w:r>
    </w:p>
    <w:p>
      <w:pPr>
        <w:spacing w:line="520" w:lineRule="exact"/>
        <w:ind w:firstLine="560" w:firstLineChars="200"/>
        <w:rPr>
          <w:rFonts w:ascii="楷体_GB2312" w:eastAsia="楷体_GB2312"/>
          <w:color w:val="000000"/>
          <w:sz w:val="28"/>
          <w:szCs w:val="28"/>
        </w:rPr>
      </w:pPr>
      <w:r>
        <w:rPr>
          <w:rFonts w:hint="eastAsia" w:ascii="楷体_GB2312" w:eastAsia="楷体_GB2312"/>
          <w:color w:val="000000"/>
          <w:sz w:val="28"/>
          <w:szCs w:val="28"/>
        </w:rPr>
        <w:t>3.进一步做好教师的引进工作，保证学校的师资水平和办学效能；</w:t>
      </w:r>
    </w:p>
    <w:p>
      <w:pPr>
        <w:spacing w:line="520" w:lineRule="exact"/>
        <w:ind w:firstLine="840" w:firstLineChars="300"/>
        <w:rPr>
          <w:rFonts w:ascii="楷体_GB2312" w:eastAsia="楷体_GB2312"/>
          <w:color w:val="000000"/>
          <w:sz w:val="28"/>
          <w:szCs w:val="28"/>
        </w:rPr>
      </w:pPr>
      <w:bookmarkStart w:id="0" w:name="_GoBack"/>
      <w:bookmarkEnd w:id="0"/>
      <w:r>
        <w:rPr>
          <w:rFonts w:hint="eastAsia" w:ascii="楷体_GB2312" w:eastAsia="楷体_GB2312"/>
          <w:color w:val="000000"/>
          <w:sz w:val="28"/>
          <w:szCs w:val="28"/>
        </w:rPr>
        <w:t>学校未来的发展，还需要全体教职工的紧密团结、艰苦奋斗和拼搏进取。我们要理智工作，积淀思想、积淀经验、积淀成果，为学校发展谱写新的历史，创造新的业绩。</w:t>
      </w:r>
    </w:p>
    <w:p>
      <w:pPr>
        <w:spacing w:line="520" w:lineRule="exact"/>
        <w:ind w:firstLine="560" w:firstLineChars="200"/>
        <w:rPr>
          <w:color w:val="000000"/>
          <w:sz w:val="28"/>
          <w:szCs w:val="28"/>
        </w:rPr>
      </w:pPr>
    </w:p>
    <w:p>
      <w:pPr>
        <w:spacing w:line="520" w:lineRule="exact"/>
        <w:rPr>
          <w:rFonts w:ascii="楷体_GB2312" w:eastAsia="楷体_GB2312"/>
          <w:color w:val="000000"/>
          <w:sz w:val="28"/>
          <w:szCs w:val="28"/>
        </w:rPr>
      </w:pPr>
      <w:r>
        <w:rPr>
          <w:rFonts w:hint="eastAsia"/>
          <w:color w:val="000000"/>
          <w:sz w:val="28"/>
          <w:szCs w:val="28"/>
        </w:rPr>
        <w:t xml:space="preserve">                                </w:t>
      </w:r>
      <w:r>
        <w:rPr>
          <w:color w:val="000000"/>
          <w:sz w:val="28"/>
          <w:szCs w:val="28"/>
        </w:rPr>
        <w:t xml:space="preserve">      </w:t>
      </w:r>
      <w:r>
        <w:rPr>
          <w:rFonts w:hint="eastAsia"/>
          <w:color w:val="000000"/>
          <w:sz w:val="28"/>
          <w:szCs w:val="28"/>
        </w:rPr>
        <w:t xml:space="preserve"> </w:t>
      </w:r>
      <w:r>
        <w:rPr>
          <w:rFonts w:hint="eastAsia" w:ascii="楷体_GB2312" w:eastAsia="楷体_GB2312"/>
          <w:color w:val="000000"/>
          <w:sz w:val="28"/>
          <w:szCs w:val="28"/>
        </w:rPr>
        <w:t>成都蒙彼利埃小学</w:t>
      </w:r>
    </w:p>
    <w:p>
      <w:pPr>
        <w:spacing w:line="520" w:lineRule="exact"/>
        <w:rPr>
          <w:rFonts w:ascii="楷体_GB2312" w:eastAsia="楷体_GB2312"/>
          <w:color w:val="000000"/>
          <w:sz w:val="28"/>
          <w:szCs w:val="28"/>
        </w:rPr>
      </w:pPr>
      <w:r>
        <w:rPr>
          <w:rFonts w:hint="eastAsia" w:ascii="楷体_GB2312" w:eastAsia="楷体_GB2312"/>
          <w:color w:val="000000"/>
          <w:sz w:val="28"/>
          <w:szCs w:val="28"/>
        </w:rPr>
        <w:t xml:space="preserve">                                           201</w:t>
      </w:r>
      <w:r>
        <w:rPr>
          <w:rFonts w:hint="eastAsia" w:ascii="楷体_GB2312" w:eastAsia="楷体_GB2312"/>
          <w:color w:val="000000"/>
          <w:sz w:val="28"/>
          <w:szCs w:val="28"/>
          <w:lang w:val="en-US" w:eastAsia="zh-CN"/>
        </w:rPr>
        <w:t>7</w:t>
      </w:r>
      <w:r>
        <w:rPr>
          <w:rFonts w:hint="eastAsia" w:ascii="楷体_GB2312" w:eastAsia="楷体_GB2312"/>
          <w:color w:val="000000"/>
          <w:sz w:val="28"/>
          <w:szCs w:val="28"/>
        </w:rPr>
        <w:t>年11月</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00"/>
    <w:family w:val="auto"/>
    <w:pitch w:val="default"/>
    <w:sig w:usb0="00000000" w:usb1="00000000" w:usb2="00000000" w:usb3="00000000" w:csb0="00000000" w:csb1="00000000"/>
  </w:font>
  <w:font w:name="΢ȭхڬ Microsoft YaHei">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omic Sans MS">
    <w:panose1 w:val="030F0702030302020204"/>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21</w: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drawing>
        <wp:inline distT="0" distB="0" distL="0" distR="0">
          <wp:extent cx="1935480" cy="455295"/>
          <wp:effectExtent l="19050" t="0" r="7427" b="0"/>
          <wp:docPr id="18" name="图片 1" descr="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11.jpg"/>
                  <pic:cNvPicPr>
                    <a:picLocks noChangeAspect="1"/>
                  </pic:cNvPicPr>
                </pic:nvPicPr>
                <pic:blipFill>
                  <a:blip r:embed="rId1"/>
                  <a:stretch>
                    <a:fillRect/>
                  </a:stretch>
                </pic:blipFill>
                <pic:spPr>
                  <a:xfrm>
                    <a:off x="0" y="0"/>
                    <a:ext cx="1937766" cy="456191"/>
                  </a:xfrm>
                  <a:prstGeom prst="rect">
                    <a:avLst/>
                  </a:prstGeom>
                </pic:spPr>
              </pic:pic>
            </a:graphicData>
          </a:graphic>
        </wp:inline>
      </w:drawing>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66B28"/>
    <w:multiLevelType w:val="multilevel"/>
    <w:tmpl w:val="75D66B28"/>
    <w:lvl w:ilvl="0" w:tentative="0">
      <w:start w:val="1"/>
      <w:numFmt w:val="bullet"/>
      <w:lvlText w:val="•"/>
      <w:lvlJc w:val="left"/>
      <w:pPr>
        <w:ind w:left="982" w:hanging="420"/>
      </w:pPr>
      <w:rPr>
        <w:rFonts w:hint="default" w:ascii="Times New Roman" w:hAnsi="Times New Roman"/>
      </w:rPr>
    </w:lvl>
    <w:lvl w:ilvl="1" w:tentative="0">
      <w:start w:val="1"/>
      <w:numFmt w:val="bullet"/>
      <w:lvlText w:val=""/>
      <w:lvlJc w:val="left"/>
      <w:pPr>
        <w:ind w:left="1402" w:hanging="420"/>
      </w:pPr>
      <w:rPr>
        <w:rFonts w:hint="default" w:ascii="Wingdings" w:hAnsi="Wingdings"/>
      </w:rPr>
    </w:lvl>
    <w:lvl w:ilvl="2" w:tentative="0">
      <w:start w:val="1"/>
      <w:numFmt w:val="bullet"/>
      <w:lvlText w:val=""/>
      <w:lvlJc w:val="left"/>
      <w:pPr>
        <w:ind w:left="1822" w:hanging="420"/>
      </w:pPr>
      <w:rPr>
        <w:rFonts w:hint="default" w:ascii="Wingdings" w:hAnsi="Wingdings"/>
      </w:rPr>
    </w:lvl>
    <w:lvl w:ilvl="3" w:tentative="0">
      <w:start w:val="1"/>
      <w:numFmt w:val="bullet"/>
      <w:lvlText w:val=""/>
      <w:lvlJc w:val="left"/>
      <w:pPr>
        <w:ind w:left="2242" w:hanging="420"/>
      </w:pPr>
      <w:rPr>
        <w:rFonts w:hint="default" w:ascii="Wingdings" w:hAnsi="Wingdings"/>
      </w:rPr>
    </w:lvl>
    <w:lvl w:ilvl="4" w:tentative="0">
      <w:start w:val="1"/>
      <w:numFmt w:val="bullet"/>
      <w:lvlText w:val=""/>
      <w:lvlJc w:val="left"/>
      <w:pPr>
        <w:ind w:left="2662" w:hanging="420"/>
      </w:pPr>
      <w:rPr>
        <w:rFonts w:hint="default" w:ascii="Wingdings" w:hAnsi="Wingdings"/>
      </w:rPr>
    </w:lvl>
    <w:lvl w:ilvl="5" w:tentative="0">
      <w:start w:val="1"/>
      <w:numFmt w:val="bullet"/>
      <w:lvlText w:val=""/>
      <w:lvlJc w:val="left"/>
      <w:pPr>
        <w:ind w:left="3082" w:hanging="420"/>
      </w:pPr>
      <w:rPr>
        <w:rFonts w:hint="default" w:ascii="Wingdings" w:hAnsi="Wingdings"/>
      </w:rPr>
    </w:lvl>
    <w:lvl w:ilvl="6" w:tentative="0">
      <w:start w:val="1"/>
      <w:numFmt w:val="bullet"/>
      <w:lvlText w:val=""/>
      <w:lvlJc w:val="left"/>
      <w:pPr>
        <w:ind w:left="3502" w:hanging="420"/>
      </w:pPr>
      <w:rPr>
        <w:rFonts w:hint="default" w:ascii="Wingdings" w:hAnsi="Wingdings"/>
      </w:rPr>
    </w:lvl>
    <w:lvl w:ilvl="7" w:tentative="0">
      <w:start w:val="1"/>
      <w:numFmt w:val="bullet"/>
      <w:lvlText w:val=""/>
      <w:lvlJc w:val="left"/>
      <w:pPr>
        <w:ind w:left="3922" w:hanging="420"/>
      </w:pPr>
      <w:rPr>
        <w:rFonts w:hint="default" w:ascii="Wingdings" w:hAnsi="Wingdings"/>
      </w:rPr>
    </w:lvl>
    <w:lvl w:ilvl="8" w:tentative="0">
      <w:start w:val="1"/>
      <w:numFmt w:val="bullet"/>
      <w:lvlText w:val=""/>
      <w:lvlJc w:val="left"/>
      <w:pPr>
        <w:ind w:left="4342" w:hanging="420"/>
      </w:pPr>
      <w:rPr>
        <w:rFonts w:hint="default" w:ascii="Wingdings" w:hAnsi="Wingdings"/>
      </w:rPr>
    </w:lvl>
  </w:abstractNum>
  <w:abstractNum w:abstractNumId="1">
    <w:nsid w:val="780F2B88"/>
    <w:multiLevelType w:val="multilevel"/>
    <w:tmpl w:val="780F2B88"/>
    <w:lvl w:ilvl="0" w:tentative="0">
      <w:start w:val="1"/>
      <w:numFmt w:val="bullet"/>
      <w:lvlText w:val="•"/>
      <w:lvlJc w:val="left"/>
      <w:pPr>
        <w:tabs>
          <w:tab w:val="left" w:pos="720"/>
        </w:tabs>
        <w:ind w:left="720" w:hanging="360"/>
      </w:pPr>
      <w:rPr>
        <w:rFonts w:hint="default" w:ascii="Times New Roman" w:hAnsi="Times New Roman"/>
      </w:rPr>
    </w:lvl>
    <w:lvl w:ilvl="1" w:tentative="0">
      <w:start w:val="1"/>
      <w:numFmt w:val="bullet"/>
      <w:lvlText w:val="•"/>
      <w:lvlJc w:val="left"/>
      <w:pPr>
        <w:tabs>
          <w:tab w:val="left" w:pos="1440"/>
        </w:tabs>
        <w:ind w:left="1440" w:hanging="360"/>
      </w:pPr>
      <w:rPr>
        <w:rFonts w:hint="default" w:ascii="Times New Roman" w:hAnsi="Times New Roman"/>
      </w:rPr>
    </w:lvl>
    <w:lvl w:ilvl="2" w:tentative="0">
      <w:start w:val="1"/>
      <w:numFmt w:val="bullet"/>
      <w:lvlText w:val="•"/>
      <w:lvlJc w:val="left"/>
      <w:pPr>
        <w:tabs>
          <w:tab w:val="left" w:pos="2160"/>
        </w:tabs>
        <w:ind w:left="2160" w:hanging="360"/>
      </w:pPr>
      <w:rPr>
        <w:rFonts w:hint="default" w:ascii="Times New Roman" w:hAnsi="Times New Roman"/>
      </w:rPr>
    </w:lvl>
    <w:lvl w:ilvl="3" w:tentative="0">
      <w:start w:val="1"/>
      <w:numFmt w:val="bullet"/>
      <w:lvlText w:val="•"/>
      <w:lvlJc w:val="left"/>
      <w:pPr>
        <w:tabs>
          <w:tab w:val="left" w:pos="2880"/>
        </w:tabs>
        <w:ind w:left="2880" w:hanging="360"/>
      </w:pPr>
      <w:rPr>
        <w:rFonts w:hint="default" w:ascii="Times New Roman" w:hAnsi="Times New Roman"/>
      </w:rPr>
    </w:lvl>
    <w:lvl w:ilvl="4" w:tentative="0">
      <w:start w:val="1"/>
      <w:numFmt w:val="bullet"/>
      <w:lvlText w:val="•"/>
      <w:lvlJc w:val="left"/>
      <w:pPr>
        <w:tabs>
          <w:tab w:val="left" w:pos="3600"/>
        </w:tabs>
        <w:ind w:left="3600" w:hanging="360"/>
      </w:pPr>
      <w:rPr>
        <w:rFonts w:hint="default" w:ascii="Times New Roman" w:hAnsi="Times New Roman"/>
      </w:rPr>
    </w:lvl>
    <w:lvl w:ilvl="5" w:tentative="0">
      <w:start w:val="1"/>
      <w:numFmt w:val="bullet"/>
      <w:lvlText w:val="•"/>
      <w:lvlJc w:val="left"/>
      <w:pPr>
        <w:tabs>
          <w:tab w:val="left" w:pos="4320"/>
        </w:tabs>
        <w:ind w:left="4320" w:hanging="360"/>
      </w:pPr>
      <w:rPr>
        <w:rFonts w:hint="default" w:ascii="Times New Roman" w:hAnsi="Times New Roman"/>
      </w:rPr>
    </w:lvl>
    <w:lvl w:ilvl="6" w:tentative="0">
      <w:start w:val="1"/>
      <w:numFmt w:val="bullet"/>
      <w:lvlText w:val="•"/>
      <w:lvlJc w:val="left"/>
      <w:pPr>
        <w:tabs>
          <w:tab w:val="left" w:pos="5040"/>
        </w:tabs>
        <w:ind w:left="5040" w:hanging="360"/>
      </w:pPr>
      <w:rPr>
        <w:rFonts w:hint="default" w:ascii="Times New Roman" w:hAnsi="Times New Roman"/>
      </w:rPr>
    </w:lvl>
    <w:lvl w:ilvl="7" w:tentative="0">
      <w:start w:val="1"/>
      <w:numFmt w:val="bullet"/>
      <w:lvlText w:val="•"/>
      <w:lvlJc w:val="left"/>
      <w:pPr>
        <w:tabs>
          <w:tab w:val="left" w:pos="5760"/>
        </w:tabs>
        <w:ind w:left="5760" w:hanging="360"/>
      </w:pPr>
      <w:rPr>
        <w:rFonts w:hint="default" w:ascii="Times New Roman" w:hAnsi="Times New Roman"/>
      </w:rPr>
    </w:lvl>
    <w:lvl w:ilvl="8" w:tentative="0">
      <w:start w:val="1"/>
      <w:numFmt w:val="bullet"/>
      <w:lvlText w:val="•"/>
      <w:lvlJc w:val="left"/>
      <w:pPr>
        <w:tabs>
          <w:tab w:val="left" w:pos="6480"/>
        </w:tabs>
        <w:ind w:left="6480" w:hanging="360"/>
      </w:pPr>
      <w:rPr>
        <w:rFonts w:hint="default" w:ascii="Times New Roman" w:hAnsi="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77C"/>
    <w:rsid w:val="000127E1"/>
    <w:rsid w:val="000327B5"/>
    <w:rsid w:val="00035056"/>
    <w:rsid w:val="00067FE0"/>
    <w:rsid w:val="000850C9"/>
    <w:rsid w:val="000B7109"/>
    <w:rsid w:val="000C3851"/>
    <w:rsid w:val="000F735C"/>
    <w:rsid w:val="00111C6E"/>
    <w:rsid w:val="00123E19"/>
    <w:rsid w:val="00147B74"/>
    <w:rsid w:val="00164ED1"/>
    <w:rsid w:val="00182157"/>
    <w:rsid w:val="001C25D4"/>
    <w:rsid w:val="00207773"/>
    <w:rsid w:val="00253C2A"/>
    <w:rsid w:val="0028359F"/>
    <w:rsid w:val="0028668C"/>
    <w:rsid w:val="002A1FA6"/>
    <w:rsid w:val="002A4E49"/>
    <w:rsid w:val="00300364"/>
    <w:rsid w:val="00350C7C"/>
    <w:rsid w:val="00354E86"/>
    <w:rsid w:val="00361E3C"/>
    <w:rsid w:val="00372F32"/>
    <w:rsid w:val="003828F4"/>
    <w:rsid w:val="003E277C"/>
    <w:rsid w:val="004077AA"/>
    <w:rsid w:val="00414260"/>
    <w:rsid w:val="004216C5"/>
    <w:rsid w:val="0043314E"/>
    <w:rsid w:val="004426F1"/>
    <w:rsid w:val="00452B5E"/>
    <w:rsid w:val="00471103"/>
    <w:rsid w:val="004720B5"/>
    <w:rsid w:val="0049461E"/>
    <w:rsid w:val="004A0D6E"/>
    <w:rsid w:val="004F2595"/>
    <w:rsid w:val="00507064"/>
    <w:rsid w:val="0051708D"/>
    <w:rsid w:val="00537051"/>
    <w:rsid w:val="005A4F02"/>
    <w:rsid w:val="005D3355"/>
    <w:rsid w:val="005F3566"/>
    <w:rsid w:val="00600236"/>
    <w:rsid w:val="00682E28"/>
    <w:rsid w:val="006A5462"/>
    <w:rsid w:val="006C08D6"/>
    <w:rsid w:val="006D3E6E"/>
    <w:rsid w:val="007452D5"/>
    <w:rsid w:val="00772302"/>
    <w:rsid w:val="00787AD4"/>
    <w:rsid w:val="007B2FFA"/>
    <w:rsid w:val="00834181"/>
    <w:rsid w:val="008501A0"/>
    <w:rsid w:val="00891EDC"/>
    <w:rsid w:val="008942CA"/>
    <w:rsid w:val="008C389D"/>
    <w:rsid w:val="008C5A2C"/>
    <w:rsid w:val="008C709C"/>
    <w:rsid w:val="008E0284"/>
    <w:rsid w:val="008F63F9"/>
    <w:rsid w:val="00962B32"/>
    <w:rsid w:val="009654D0"/>
    <w:rsid w:val="0096623D"/>
    <w:rsid w:val="009678F3"/>
    <w:rsid w:val="00975F99"/>
    <w:rsid w:val="009E3ED9"/>
    <w:rsid w:val="00A02033"/>
    <w:rsid w:val="00A12D94"/>
    <w:rsid w:val="00A131A5"/>
    <w:rsid w:val="00A60E7D"/>
    <w:rsid w:val="00A70D4D"/>
    <w:rsid w:val="00A80691"/>
    <w:rsid w:val="00AB2426"/>
    <w:rsid w:val="00AE1B02"/>
    <w:rsid w:val="00AE701D"/>
    <w:rsid w:val="00AF5B20"/>
    <w:rsid w:val="00AF6A09"/>
    <w:rsid w:val="00B03ABF"/>
    <w:rsid w:val="00B20349"/>
    <w:rsid w:val="00B45CD7"/>
    <w:rsid w:val="00B6704B"/>
    <w:rsid w:val="00B95CD5"/>
    <w:rsid w:val="00BB3F61"/>
    <w:rsid w:val="00C0406B"/>
    <w:rsid w:val="00C06F3D"/>
    <w:rsid w:val="00C508DB"/>
    <w:rsid w:val="00CA791A"/>
    <w:rsid w:val="00CB3489"/>
    <w:rsid w:val="00CB7033"/>
    <w:rsid w:val="00CD1220"/>
    <w:rsid w:val="00D20CEA"/>
    <w:rsid w:val="00D70006"/>
    <w:rsid w:val="00DA4DA6"/>
    <w:rsid w:val="00DC08E9"/>
    <w:rsid w:val="00DC0B96"/>
    <w:rsid w:val="00E2004D"/>
    <w:rsid w:val="00E26182"/>
    <w:rsid w:val="00E45E01"/>
    <w:rsid w:val="00E62DDD"/>
    <w:rsid w:val="00E8161E"/>
    <w:rsid w:val="00F12DD3"/>
    <w:rsid w:val="00F14E80"/>
    <w:rsid w:val="00F36624"/>
    <w:rsid w:val="00FE628B"/>
    <w:rsid w:val="30BE1FAA"/>
    <w:rsid w:val="58663008"/>
    <w:rsid w:val="60FA7222"/>
    <w:rsid w:val="7A8D0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99"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iPriority w:val="0"/>
    <w:pPr>
      <w:spacing w:line="360" w:lineRule="auto"/>
      <w:ind w:firstLine="420" w:firstLineChars="200"/>
    </w:pPr>
  </w:style>
  <w:style w:type="paragraph" w:styleId="4">
    <w:name w:val="Body Text Indent 2"/>
    <w:basedOn w:val="1"/>
    <w:uiPriority w:val="0"/>
    <w:pPr>
      <w:spacing w:after="120" w:line="480" w:lineRule="auto"/>
      <w:ind w:left="420" w:leftChars="200"/>
    </w:pPr>
  </w:style>
  <w:style w:type="paragraph" w:styleId="5">
    <w:name w:val="Balloon Text"/>
    <w:basedOn w:val="1"/>
    <w:link w:val="15"/>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link w:val="13"/>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iPriority w:val="99"/>
    <w:pPr>
      <w:widowControl/>
      <w:spacing w:before="100" w:beforeAutospacing="1" w:after="100" w:afterAutospacing="1"/>
      <w:jc w:val="left"/>
    </w:pPr>
    <w:rPr>
      <w:rFonts w:ascii="宋体" w:hAnsi="宋体"/>
      <w:kern w:val="0"/>
      <w:sz w:val="24"/>
    </w:rPr>
  </w:style>
  <w:style w:type="character" w:styleId="10">
    <w:name w:val="page number"/>
    <w:basedOn w:val="9"/>
    <w:uiPriority w:val="0"/>
  </w:style>
  <w:style w:type="table" w:styleId="12">
    <w:name w:val="Table Grid"/>
    <w:basedOn w:val="11"/>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13">
    <w:name w:val="页眉 Char"/>
    <w:basedOn w:val="9"/>
    <w:link w:val="7"/>
    <w:uiPriority w:val="99"/>
    <w:rPr>
      <w:kern w:val="2"/>
      <w:sz w:val="18"/>
      <w:szCs w:val="18"/>
    </w:rPr>
  </w:style>
  <w:style w:type="paragraph" w:customStyle="1" w:styleId="14">
    <w:name w:val="List Paragraph"/>
    <w:basedOn w:val="1"/>
    <w:qFormat/>
    <w:uiPriority w:val="34"/>
    <w:pPr>
      <w:ind w:firstLine="420" w:firstLineChars="200"/>
    </w:pPr>
  </w:style>
  <w:style w:type="character" w:customStyle="1" w:styleId="15">
    <w:name w:val="批注框文本 Char"/>
    <w:basedOn w:val="9"/>
    <w:link w:val="5"/>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8C57D8-8910-4FFB-9557-CDDE92A32568}">
  <ds:schemaRefs/>
</ds:datastoreItem>
</file>

<file path=docProps/app.xml><?xml version="1.0" encoding="utf-8"?>
<Properties xmlns="http://schemas.openxmlformats.org/officeDocument/2006/extended-properties" xmlns:vt="http://schemas.openxmlformats.org/officeDocument/2006/docPropsVTypes">
  <Template>Normal</Template>
  <Company>CDCXD</Company>
  <Pages>22</Pages>
  <Words>1821</Words>
  <Characters>10381</Characters>
  <Lines>86</Lines>
  <Paragraphs>24</Paragraphs>
  <TotalTime>0</TotalTime>
  <ScaleCrop>false</ScaleCrop>
  <LinksUpToDate>false</LinksUpToDate>
  <CharactersWithSpaces>12178</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2015-11-11T05:28:00Z</dcterms:created>
  <dc:creator>CXD</dc:creator>
  <cp:lastModifiedBy>user</cp:lastModifiedBy>
  <dcterms:modified xsi:type="dcterms:W3CDTF">2017-11-16T02:39:34Z</dcterms:modified>
  <dc:title>成都市泡桐树小学（天府校区）</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